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520" w:type="dxa"/>
        <w:tblCellSpacing w:w="0" w:type="dxa"/>
        <w:tblCellMar>
          <w:left w:w="0" w:type="dxa"/>
          <w:right w:w="0" w:type="dxa"/>
        </w:tblCellMar>
        <w:tblLook w:val="04A0" w:firstRow="1" w:lastRow="0" w:firstColumn="1" w:lastColumn="0" w:noHBand="0" w:noVBand="1"/>
      </w:tblPr>
      <w:tblGrid>
        <w:gridCol w:w="11508"/>
        <w:gridCol w:w="6"/>
        <w:gridCol w:w="6"/>
      </w:tblGrid>
      <w:tr w:rsidR="00D96A3A" w:rsidRPr="00D96A3A" w:rsidTr="00D96A3A">
        <w:trPr>
          <w:gridAfter w:val="2"/>
          <w:tblCellSpacing w:w="0" w:type="dxa"/>
        </w:trPr>
        <w:tc>
          <w:tcPr>
            <w:tcW w:w="0" w:type="auto"/>
            <w:vAlign w:val="center"/>
            <w:hideMark/>
          </w:tcPr>
          <w:p w:rsidR="00D96A3A" w:rsidRPr="00D96A3A" w:rsidRDefault="00D96A3A" w:rsidP="00D96A3A">
            <w:pPr>
              <w:rPr>
                <w:rFonts w:ascii="Times New Roman" w:eastAsia="Times New Roman" w:hAnsi="Times New Roman" w:cs="Times New Roman"/>
                <w:sz w:val="24"/>
                <w:szCs w:val="24"/>
              </w:rPr>
            </w:pPr>
            <w:r w:rsidRPr="00D96A3A">
              <w:rPr>
                <w:rFonts w:ascii="Times New Roman" w:eastAsia="Times New Roman" w:hAnsi="Times New Roman" w:cs="Times New Roman"/>
                <w:sz w:val="24"/>
                <w:szCs w:val="24"/>
              </w:rPr>
              <w:t>Primary Dealers List</w:t>
            </w:r>
          </w:p>
        </w:tc>
        <w:bookmarkStart w:id="0" w:name="allmembers"/>
        <w:bookmarkStart w:id="1" w:name="newestmembers"/>
        <w:bookmarkEnd w:id="0"/>
        <w:bookmarkEnd w:id="1"/>
      </w:tr>
      <w:tr w:rsidR="00D96A3A" w:rsidRPr="00D96A3A" w:rsidTr="00D96A3A">
        <w:trPr>
          <w:gridAfter w:val="2"/>
          <w:trHeight w:val="240"/>
          <w:tblCellSpacing w:w="0" w:type="dxa"/>
        </w:trPr>
        <w:tc>
          <w:tcPr>
            <w:tcW w:w="0" w:type="auto"/>
            <w:vAlign w:val="center"/>
            <w:hideMark/>
          </w:tcPr>
          <w:p w:rsidR="00D96A3A" w:rsidRPr="00D96A3A" w:rsidRDefault="00D96A3A" w:rsidP="00D96A3A">
            <w:pPr>
              <w:rPr>
                <w:rFonts w:ascii="Times New Roman" w:eastAsia="Times New Roman" w:hAnsi="Times New Roman" w:cs="Times New Roman"/>
                <w:sz w:val="24"/>
                <w:szCs w:val="24"/>
              </w:rPr>
            </w:pPr>
          </w:p>
        </w:tc>
      </w:tr>
      <w:tr w:rsidR="00D96A3A" w:rsidRPr="00D96A3A" w:rsidTr="00D96A3A">
        <w:trPr>
          <w:gridAfter w:val="2"/>
          <w:tblCellSpacing w:w="0" w:type="dxa"/>
        </w:trPr>
        <w:tc>
          <w:tcPr>
            <w:tcW w:w="0" w:type="auto"/>
            <w:vAlign w:val="center"/>
            <w:hideMark/>
          </w:tcPr>
          <w:p w:rsidR="00D96A3A" w:rsidRPr="00D96A3A" w:rsidRDefault="00D96A3A" w:rsidP="00D96A3A">
            <w:pPr>
              <w:spacing w:before="100" w:beforeAutospacing="1" w:after="100" w:afterAutospacing="1"/>
              <w:rPr>
                <w:rFonts w:ascii="Times New Roman" w:eastAsia="Times New Roman" w:hAnsi="Times New Roman" w:cs="Times New Roman"/>
                <w:sz w:val="24"/>
                <w:szCs w:val="24"/>
              </w:rPr>
            </w:pPr>
            <w:r w:rsidRPr="00D96A3A">
              <w:rPr>
                <w:rFonts w:ascii="Times New Roman" w:eastAsia="Times New Roman" w:hAnsi="Times New Roman" w:cs="Times New Roman"/>
                <w:sz w:val="24"/>
                <w:szCs w:val="24"/>
              </w:rPr>
              <w:t>Primary dealers serve as trading counterparties of the New York Fed in its implementation of monetary policy. This role includes the obligations to: (</w:t>
            </w:r>
            <w:proofErr w:type="spellStart"/>
            <w:r w:rsidRPr="00D96A3A">
              <w:rPr>
                <w:rFonts w:ascii="Times New Roman" w:eastAsia="Times New Roman" w:hAnsi="Times New Roman" w:cs="Times New Roman"/>
                <w:sz w:val="24"/>
                <w:szCs w:val="24"/>
              </w:rPr>
              <w:t>i</w:t>
            </w:r>
            <w:proofErr w:type="spellEnd"/>
            <w:r w:rsidRPr="00D96A3A">
              <w:rPr>
                <w:rFonts w:ascii="Times New Roman" w:eastAsia="Times New Roman" w:hAnsi="Times New Roman" w:cs="Times New Roman"/>
                <w:sz w:val="24"/>
                <w:szCs w:val="24"/>
              </w:rPr>
              <w:t xml:space="preserve">) participate consistently in open market operations to carry out U.S. monetary policy pursuant to the direction of the Federal Open Market Committee (FOMC); and (ii) provide the New York Fed's trading desk with market information and analysis helpful in the formulation and implementation of monetary policy. </w:t>
            </w:r>
            <w:r w:rsidRPr="00EA7996">
              <w:rPr>
                <w:rFonts w:ascii="Times New Roman" w:eastAsia="Times New Roman" w:hAnsi="Times New Roman" w:cs="Times New Roman"/>
                <w:sz w:val="24"/>
                <w:szCs w:val="24"/>
                <w:highlight w:val="yellow"/>
              </w:rPr>
              <w:t>Primary dealers are also required to participate in all auctions of U.S. government debt and to make reasonable markets for the New York Fed when it transacts on behalf of its foreign official account-holders.</w:t>
            </w:r>
          </w:p>
        </w:tc>
      </w:tr>
      <w:tr w:rsidR="00D96A3A" w:rsidRPr="00D96A3A" w:rsidTr="00D96A3A">
        <w:trPr>
          <w:gridAfter w:val="2"/>
          <w:trHeight w:val="240"/>
          <w:tblCellSpacing w:w="0" w:type="dxa"/>
        </w:trPr>
        <w:tc>
          <w:tcPr>
            <w:tcW w:w="0" w:type="auto"/>
            <w:vAlign w:val="center"/>
            <w:hideMark/>
          </w:tcPr>
          <w:p w:rsidR="00D96A3A" w:rsidRPr="00D96A3A" w:rsidRDefault="00D96A3A" w:rsidP="00D96A3A">
            <w:pPr>
              <w:rPr>
                <w:rFonts w:ascii="Times New Roman" w:eastAsia="Times New Roman" w:hAnsi="Times New Roman" w:cs="Times New Roman"/>
                <w:sz w:val="24"/>
                <w:szCs w:val="24"/>
              </w:rPr>
            </w:pPr>
            <w:r w:rsidRPr="00D96A3A">
              <w:rPr>
                <w:rFonts w:ascii="Times New Roman" w:eastAsia="Times New Roman" w:hAnsi="Times New Roman" w:cs="Times New Roman"/>
                <w:noProof/>
                <w:sz w:val="24"/>
                <w:szCs w:val="24"/>
              </w:rPr>
              <w:drawing>
                <wp:inline distT="0" distB="0" distL="0" distR="0">
                  <wp:extent cx="9525" cy="152400"/>
                  <wp:effectExtent l="0" t="0" r="0" b="0"/>
                  <wp:docPr id="3" name="Picture 3" descr="http://www.newyorkfed.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wyorkfed.org/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152400"/>
                          </a:xfrm>
                          <a:prstGeom prst="rect">
                            <a:avLst/>
                          </a:prstGeom>
                          <a:noFill/>
                          <a:ln>
                            <a:noFill/>
                          </a:ln>
                        </pic:spPr>
                      </pic:pic>
                    </a:graphicData>
                  </a:graphic>
                </wp:inline>
              </w:drawing>
            </w:r>
          </w:p>
        </w:tc>
      </w:tr>
      <w:tr w:rsidR="00D96A3A" w:rsidRPr="00D96A3A" w:rsidTr="00D96A3A">
        <w:trPr>
          <w:tblCellSpacing w:w="0" w:type="dxa"/>
        </w:trPr>
        <w:tc>
          <w:tcPr>
            <w:tcW w:w="0" w:type="auto"/>
            <w:gridSpan w:val="3"/>
            <w:vAlign w:val="center"/>
            <w:hideMark/>
          </w:tcPr>
          <w:p w:rsidR="00D96A3A" w:rsidRPr="00D96A3A" w:rsidRDefault="00EA7996" w:rsidP="00D96A3A">
            <w:pPr>
              <w:jc w:val="right"/>
              <w:rPr>
                <w:rFonts w:ascii="Times New Roman" w:eastAsia="Times New Roman" w:hAnsi="Times New Roman" w:cs="Times New Roman"/>
                <w:sz w:val="24"/>
                <w:szCs w:val="24"/>
              </w:rPr>
            </w:pPr>
            <w:hyperlink r:id="rId6" w:history="1">
              <w:r w:rsidR="00D96A3A" w:rsidRPr="00D96A3A">
                <w:rPr>
                  <w:rFonts w:ascii="Times New Roman" w:eastAsia="Times New Roman" w:hAnsi="Times New Roman" w:cs="Times New Roman"/>
                  <w:noProof/>
                  <w:color w:val="0000FF"/>
                  <w:sz w:val="24"/>
                  <w:szCs w:val="24"/>
                </w:rPr>
                <w:drawing>
                  <wp:inline distT="0" distB="0" distL="0" distR="0">
                    <wp:extent cx="142875" cy="95250"/>
                    <wp:effectExtent l="0" t="0" r="9525" b="0"/>
                    <wp:docPr id="2" name="Picture 2" descr="E-mail Alert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lert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 cy="95250"/>
                            </a:xfrm>
                            <a:prstGeom prst="rect">
                              <a:avLst/>
                            </a:prstGeom>
                            <a:noFill/>
                            <a:ln>
                              <a:noFill/>
                            </a:ln>
                          </pic:spPr>
                        </pic:pic>
                      </a:graphicData>
                    </a:graphic>
                  </wp:inline>
                </w:drawing>
              </w:r>
              <w:r w:rsidR="00D96A3A" w:rsidRPr="00D96A3A">
                <w:rPr>
                  <w:rFonts w:ascii="Times New Roman" w:eastAsia="Times New Roman" w:hAnsi="Times New Roman" w:cs="Times New Roman"/>
                  <w:color w:val="0000FF"/>
                  <w:sz w:val="24"/>
                  <w:szCs w:val="24"/>
                  <w:u w:val="single"/>
                </w:rPr>
                <w:t>E-mail alert</w:t>
              </w:r>
            </w:hyperlink>
          </w:p>
        </w:tc>
      </w:tr>
      <w:tr w:rsidR="00D96A3A" w:rsidRPr="00D96A3A" w:rsidTr="00D96A3A">
        <w:trPr>
          <w:tblCellSpacing w:w="0" w:type="dxa"/>
        </w:trPr>
        <w:tc>
          <w:tcPr>
            <w:tcW w:w="0" w:type="auto"/>
            <w:gridSpan w:val="3"/>
            <w:vAlign w:val="center"/>
            <w:hideMark/>
          </w:tcPr>
          <w:p w:rsidR="00D96A3A" w:rsidRPr="00D96A3A" w:rsidRDefault="00D96A3A" w:rsidP="00D96A3A">
            <w:pPr>
              <w:jc w:val="right"/>
              <w:rPr>
                <w:rFonts w:ascii="Times New Roman" w:eastAsia="Times New Roman" w:hAnsi="Times New Roman" w:cs="Times New Roman"/>
                <w:sz w:val="24"/>
                <w:szCs w:val="24"/>
              </w:rPr>
            </w:pPr>
          </w:p>
        </w:tc>
      </w:tr>
      <w:tr w:rsidR="00D96A3A" w:rsidRPr="00D96A3A" w:rsidTr="00D96A3A">
        <w:trPr>
          <w:trHeight w:val="240"/>
          <w:tblCellSpacing w:w="0" w:type="dxa"/>
        </w:trPr>
        <w:tc>
          <w:tcPr>
            <w:tcW w:w="0" w:type="auto"/>
            <w:vAlign w:val="center"/>
            <w:hideMark/>
          </w:tcPr>
          <w:p w:rsidR="00D96A3A" w:rsidRPr="00D96A3A" w:rsidRDefault="00D96A3A" w:rsidP="00D96A3A">
            <w:pPr>
              <w:rPr>
                <w:rFonts w:ascii="Times New Roman" w:eastAsia="Times New Roman" w:hAnsi="Times New Roman" w:cs="Times New Roman"/>
                <w:sz w:val="24"/>
                <w:szCs w:val="24"/>
              </w:rPr>
            </w:pPr>
            <w:r w:rsidRPr="00D96A3A">
              <w:rPr>
                <w:rFonts w:ascii="Times New Roman" w:eastAsia="Times New Roman" w:hAnsi="Times New Roman" w:cs="Times New Roman"/>
                <w:noProof/>
                <w:sz w:val="24"/>
                <w:szCs w:val="24"/>
              </w:rPr>
              <w:drawing>
                <wp:inline distT="0" distB="0" distL="0" distR="0">
                  <wp:extent cx="9525" cy="152400"/>
                  <wp:effectExtent l="0" t="0" r="0" b="0"/>
                  <wp:docPr id="1" name="Picture 1" descr="http://www.newyorkfed.org/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wyorkfed.org/images/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152400"/>
                          </a:xfrm>
                          <a:prstGeom prst="rect">
                            <a:avLst/>
                          </a:prstGeom>
                          <a:noFill/>
                          <a:ln>
                            <a:noFill/>
                          </a:ln>
                        </pic:spPr>
                      </pic:pic>
                    </a:graphicData>
                  </a:graphic>
                </wp:inline>
              </w:drawing>
            </w:r>
          </w:p>
        </w:tc>
        <w:tc>
          <w:tcPr>
            <w:tcW w:w="0" w:type="auto"/>
            <w:vAlign w:val="center"/>
            <w:hideMark/>
          </w:tcPr>
          <w:p w:rsidR="00D96A3A" w:rsidRPr="00D96A3A" w:rsidRDefault="00D96A3A" w:rsidP="00D96A3A">
            <w:pPr>
              <w:rPr>
                <w:rFonts w:ascii="Times New Roman" w:eastAsia="Times New Roman" w:hAnsi="Times New Roman" w:cs="Times New Roman"/>
                <w:sz w:val="20"/>
                <w:szCs w:val="20"/>
              </w:rPr>
            </w:pPr>
          </w:p>
        </w:tc>
        <w:tc>
          <w:tcPr>
            <w:tcW w:w="0" w:type="auto"/>
            <w:vAlign w:val="center"/>
            <w:hideMark/>
          </w:tcPr>
          <w:p w:rsidR="00D96A3A" w:rsidRPr="00D96A3A" w:rsidRDefault="00D96A3A" w:rsidP="00D96A3A">
            <w:pPr>
              <w:rPr>
                <w:rFonts w:ascii="Times New Roman" w:eastAsia="Times New Roman" w:hAnsi="Times New Roman" w:cs="Times New Roman"/>
                <w:sz w:val="20"/>
                <w:szCs w:val="20"/>
              </w:rPr>
            </w:pPr>
          </w:p>
        </w:tc>
      </w:tr>
    </w:tbl>
    <w:p w:rsidR="00D96A3A" w:rsidRPr="00D96A3A" w:rsidRDefault="00EA7996" w:rsidP="00D96A3A">
      <w:pPr>
        <w:numPr>
          <w:ilvl w:val="0"/>
          <w:numId w:val="1"/>
        </w:numPr>
        <w:spacing w:before="100" w:beforeAutospacing="1" w:after="100" w:afterAutospacing="1"/>
        <w:rPr>
          <w:rFonts w:ascii="Times New Roman" w:eastAsia="Times New Roman" w:hAnsi="Times New Roman" w:cs="Times New Roman"/>
          <w:sz w:val="24"/>
          <w:szCs w:val="24"/>
        </w:rPr>
      </w:pPr>
      <w:hyperlink r:id="rId8" w:anchor="tabs-1" w:history="1">
        <w:r w:rsidR="00D96A3A" w:rsidRPr="00D96A3A">
          <w:rPr>
            <w:rFonts w:ascii="Times New Roman" w:eastAsia="Times New Roman" w:hAnsi="Times New Roman" w:cs="Times New Roman"/>
            <w:color w:val="0000FF"/>
            <w:sz w:val="24"/>
            <w:szCs w:val="24"/>
            <w:u w:val="single"/>
          </w:rPr>
          <w:t>Primary Dealers</w:t>
        </w:r>
      </w:hyperlink>
    </w:p>
    <w:p w:rsidR="00D96A3A" w:rsidRPr="00D96A3A" w:rsidRDefault="00EA7996" w:rsidP="00D96A3A">
      <w:pPr>
        <w:numPr>
          <w:ilvl w:val="0"/>
          <w:numId w:val="1"/>
        </w:numPr>
        <w:spacing w:before="100" w:beforeAutospacing="1" w:after="100" w:afterAutospacing="1"/>
        <w:rPr>
          <w:rFonts w:ascii="Times New Roman" w:eastAsia="Times New Roman" w:hAnsi="Times New Roman" w:cs="Times New Roman"/>
          <w:sz w:val="24"/>
          <w:szCs w:val="24"/>
        </w:rPr>
      </w:pPr>
      <w:hyperlink r:id="rId9" w:anchor="tabs-2" w:history="1">
        <w:r w:rsidR="00D96A3A" w:rsidRPr="00D96A3A">
          <w:rPr>
            <w:rFonts w:ascii="Times New Roman" w:eastAsia="Times New Roman" w:hAnsi="Times New Roman" w:cs="Times New Roman"/>
            <w:color w:val="0000FF"/>
            <w:sz w:val="24"/>
            <w:szCs w:val="24"/>
            <w:u w:val="single"/>
          </w:rPr>
          <w:t>Additions and Removals</w:t>
        </w:r>
      </w:hyperlink>
    </w:p>
    <w:p w:rsidR="00D96A3A" w:rsidRPr="00D96A3A" w:rsidRDefault="00EA7996" w:rsidP="00D96A3A">
      <w:pPr>
        <w:numPr>
          <w:ilvl w:val="0"/>
          <w:numId w:val="1"/>
        </w:numPr>
        <w:spacing w:before="100" w:beforeAutospacing="1" w:after="100" w:afterAutospacing="1"/>
        <w:rPr>
          <w:rFonts w:ascii="Times New Roman" w:eastAsia="Times New Roman" w:hAnsi="Times New Roman" w:cs="Times New Roman"/>
          <w:sz w:val="24"/>
          <w:szCs w:val="24"/>
        </w:rPr>
      </w:pPr>
      <w:hyperlink r:id="rId10" w:anchor="tabs-3" w:history="1">
        <w:r w:rsidR="00D96A3A" w:rsidRPr="00D96A3A">
          <w:rPr>
            <w:rFonts w:ascii="Times New Roman" w:eastAsia="Times New Roman" w:hAnsi="Times New Roman" w:cs="Times New Roman"/>
            <w:color w:val="0000FF"/>
            <w:sz w:val="24"/>
            <w:szCs w:val="24"/>
            <w:u w:val="single"/>
          </w:rPr>
          <w:t>Name Changes</w:t>
        </w:r>
      </w:hyperlink>
    </w:p>
    <w:p w:rsidR="00D96A3A" w:rsidRPr="00D96A3A" w:rsidRDefault="00D96A3A" w:rsidP="00D96A3A">
      <w:pPr>
        <w:rPr>
          <w:rFonts w:ascii="Times New Roman" w:eastAsia="Times New Roman" w:hAnsi="Times New Roman" w:cs="Times New Roman"/>
          <w:sz w:val="24"/>
          <w:szCs w:val="24"/>
        </w:rPr>
      </w:pPr>
    </w:p>
    <w:tbl>
      <w:tblPr>
        <w:tblW w:w="5000" w:type="pct"/>
        <w:jc w:val="center"/>
        <w:tblCellSpacing w:w="0" w:type="dxa"/>
        <w:tblCellMar>
          <w:top w:w="120" w:type="dxa"/>
          <w:left w:w="120" w:type="dxa"/>
          <w:bottom w:w="120" w:type="dxa"/>
          <w:right w:w="120" w:type="dxa"/>
        </w:tblCellMar>
        <w:tblLook w:val="04A0" w:firstRow="1" w:lastRow="0" w:firstColumn="1" w:lastColumn="0" w:noHBand="0" w:noVBand="1"/>
      </w:tblPr>
      <w:tblGrid>
        <w:gridCol w:w="10800"/>
      </w:tblGrid>
      <w:tr w:rsidR="00D96A3A" w:rsidRPr="00D96A3A" w:rsidTr="00D96A3A">
        <w:trPr>
          <w:tblCellSpacing w:w="0" w:type="dxa"/>
          <w:jc w:val="center"/>
        </w:trPr>
        <w:tc>
          <w:tcPr>
            <w:tcW w:w="0" w:type="auto"/>
            <w:hideMark/>
          </w:tcPr>
          <w:p w:rsidR="00D96A3A" w:rsidRPr="00D96A3A" w:rsidRDefault="00D96A3A" w:rsidP="00D96A3A">
            <w:pPr>
              <w:spacing w:before="100" w:beforeAutospacing="1" w:after="100" w:afterAutospacing="1"/>
              <w:rPr>
                <w:rFonts w:ascii="Times New Roman" w:eastAsia="Times New Roman" w:hAnsi="Times New Roman" w:cs="Times New Roman"/>
                <w:sz w:val="24"/>
                <w:szCs w:val="24"/>
              </w:rPr>
            </w:pPr>
            <w:r w:rsidRPr="00D96A3A">
              <w:rPr>
                <w:rFonts w:ascii="Times New Roman" w:eastAsia="Times New Roman" w:hAnsi="Times New Roman" w:cs="Times New Roman"/>
                <w:sz w:val="24"/>
                <w:szCs w:val="24"/>
              </w:rPr>
              <w:t>Bank of Nova Scotia, New York Agency</w:t>
            </w:r>
            <w:r w:rsidRPr="00D96A3A">
              <w:rPr>
                <w:rFonts w:ascii="Times New Roman" w:eastAsia="Times New Roman" w:hAnsi="Times New Roman" w:cs="Times New Roman"/>
                <w:sz w:val="24"/>
                <w:szCs w:val="24"/>
              </w:rPr>
              <w:br/>
              <w:t>BMO Capital Markets Corp.</w:t>
            </w:r>
            <w:r w:rsidRPr="00D96A3A">
              <w:rPr>
                <w:rFonts w:ascii="Times New Roman" w:eastAsia="Times New Roman" w:hAnsi="Times New Roman" w:cs="Times New Roman"/>
                <w:sz w:val="24"/>
                <w:szCs w:val="24"/>
              </w:rPr>
              <w:br/>
              <w:t>BNP Paribas Securities Corp.</w:t>
            </w:r>
            <w:r w:rsidRPr="00D96A3A">
              <w:rPr>
                <w:rFonts w:ascii="Times New Roman" w:eastAsia="Times New Roman" w:hAnsi="Times New Roman" w:cs="Times New Roman"/>
                <w:sz w:val="24"/>
                <w:szCs w:val="24"/>
              </w:rPr>
              <w:br/>
              <w:t>Barclays Capital Inc.</w:t>
            </w:r>
            <w:bookmarkStart w:id="2" w:name="_GoBack"/>
            <w:bookmarkEnd w:id="2"/>
            <w:r w:rsidRPr="00D96A3A">
              <w:rPr>
                <w:rFonts w:ascii="Times New Roman" w:eastAsia="Times New Roman" w:hAnsi="Times New Roman" w:cs="Times New Roman"/>
                <w:sz w:val="24"/>
                <w:szCs w:val="24"/>
              </w:rPr>
              <w:br/>
              <w:t>Cantor Fitzgerald &amp; Co.</w:t>
            </w:r>
            <w:r w:rsidRPr="00D96A3A">
              <w:rPr>
                <w:rFonts w:ascii="Times New Roman" w:eastAsia="Times New Roman" w:hAnsi="Times New Roman" w:cs="Times New Roman"/>
                <w:sz w:val="24"/>
                <w:szCs w:val="24"/>
              </w:rPr>
              <w:br/>
              <w:t>Citigroup Global Markets Inc.</w:t>
            </w:r>
            <w:r w:rsidRPr="00D96A3A">
              <w:rPr>
                <w:rFonts w:ascii="Times New Roman" w:eastAsia="Times New Roman" w:hAnsi="Times New Roman" w:cs="Times New Roman"/>
                <w:sz w:val="24"/>
                <w:szCs w:val="24"/>
              </w:rPr>
              <w:br/>
              <w:t>Credit Suisse Securities (USA) LLC</w:t>
            </w:r>
            <w:r w:rsidRPr="00D96A3A">
              <w:rPr>
                <w:rFonts w:ascii="Times New Roman" w:eastAsia="Times New Roman" w:hAnsi="Times New Roman" w:cs="Times New Roman"/>
                <w:sz w:val="24"/>
                <w:szCs w:val="24"/>
              </w:rPr>
              <w:br/>
              <w:t>Daiwa Capital Markets America Inc.</w:t>
            </w:r>
            <w:r w:rsidRPr="00D96A3A">
              <w:rPr>
                <w:rFonts w:ascii="Times New Roman" w:eastAsia="Times New Roman" w:hAnsi="Times New Roman" w:cs="Times New Roman"/>
                <w:sz w:val="24"/>
                <w:szCs w:val="24"/>
              </w:rPr>
              <w:br/>
              <w:t>Deutsche Bank Securities Inc.</w:t>
            </w:r>
            <w:r w:rsidRPr="00D96A3A">
              <w:rPr>
                <w:rFonts w:ascii="Times New Roman" w:eastAsia="Times New Roman" w:hAnsi="Times New Roman" w:cs="Times New Roman"/>
                <w:sz w:val="24"/>
                <w:szCs w:val="24"/>
              </w:rPr>
              <w:br/>
              <w:t>Goldman, Sachs &amp; Co.</w:t>
            </w:r>
            <w:r w:rsidRPr="00D96A3A">
              <w:rPr>
                <w:rFonts w:ascii="Times New Roman" w:eastAsia="Times New Roman" w:hAnsi="Times New Roman" w:cs="Times New Roman"/>
                <w:sz w:val="24"/>
                <w:szCs w:val="24"/>
              </w:rPr>
              <w:br/>
              <w:t>HSBC Securities (USA) Inc.</w:t>
            </w:r>
            <w:r w:rsidRPr="00D96A3A">
              <w:rPr>
                <w:rFonts w:ascii="Times New Roman" w:eastAsia="Times New Roman" w:hAnsi="Times New Roman" w:cs="Times New Roman"/>
                <w:sz w:val="24"/>
                <w:szCs w:val="24"/>
              </w:rPr>
              <w:br/>
              <w:t>Jefferies LLC</w:t>
            </w:r>
            <w:r w:rsidRPr="00D96A3A">
              <w:rPr>
                <w:rFonts w:ascii="Times New Roman" w:eastAsia="Times New Roman" w:hAnsi="Times New Roman" w:cs="Times New Roman"/>
                <w:sz w:val="24"/>
                <w:szCs w:val="24"/>
              </w:rPr>
              <w:br/>
              <w:t>J.P. Morgan Securities LLC</w:t>
            </w:r>
            <w:r w:rsidRPr="00D96A3A">
              <w:rPr>
                <w:rFonts w:ascii="Times New Roman" w:eastAsia="Times New Roman" w:hAnsi="Times New Roman" w:cs="Times New Roman"/>
                <w:sz w:val="24"/>
                <w:szCs w:val="24"/>
              </w:rPr>
              <w:br/>
              <w:t xml:space="preserve">Merrill Lynch, Pierce, </w:t>
            </w:r>
            <w:proofErr w:type="spellStart"/>
            <w:r w:rsidRPr="00D96A3A">
              <w:rPr>
                <w:rFonts w:ascii="Times New Roman" w:eastAsia="Times New Roman" w:hAnsi="Times New Roman" w:cs="Times New Roman"/>
                <w:sz w:val="24"/>
                <w:szCs w:val="24"/>
              </w:rPr>
              <w:t>Fenner</w:t>
            </w:r>
            <w:proofErr w:type="spellEnd"/>
            <w:r w:rsidRPr="00D96A3A">
              <w:rPr>
                <w:rFonts w:ascii="Times New Roman" w:eastAsia="Times New Roman" w:hAnsi="Times New Roman" w:cs="Times New Roman"/>
                <w:sz w:val="24"/>
                <w:szCs w:val="24"/>
              </w:rPr>
              <w:t xml:space="preserve"> &amp; Smith Incorporated</w:t>
            </w:r>
            <w:r w:rsidRPr="00D96A3A">
              <w:rPr>
                <w:rFonts w:ascii="Times New Roman" w:eastAsia="Times New Roman" w:hAnsi="Times New Roman" w:cs="Times New Roman"/>
                <w:sz w:val="24"/>
                <w:szCs w:val="24"/>
              </w:rPr>
              <w:br/>
              <w:t>Mizuho Securities USA Inc.</w:t>
            </w:r>
            <w:r w:rsidRPr="00D96A3A">
              <w:rPr>
                <w:rFonts w:ascii="Times New Roman" w:eastAsia="Times New Roman" w:hAnsi="Times New Roman" w:cs="Times New Roman"/>
                <w:sz w:val="24"/>
                <w:szCs w:val="24"/>
              </w:rPr>
              <w:br/>
              <w:t>Morgan Stanley &amp; Co. LLC</w:t>
            </w:r>
            <w:r w:rsidRPr="00D96A3A">
              <w:rPr>
                <w:rFonts w:ascii="Times New Roman" w:eastAsia="Times New Roman" w:hAnsi="Times New Roman" w:cs="Times New Roman"/>
                <w:sz w:val="24"/>
                <w:szCs w:val="24"/>
              </w:rPr>
              <w:br/>
              <w:t>Nomura Securities International, Inc.</w:t>
            </w:r>
            <w:r w:rsidRPr="00D96A3A">
              <w:rPr>
                <w:rFonts w:ascii="Times New Roman" w:eastAsia="Times New Roman" w:hAnsi="Times New Roman" w:cs="Times New Roman"/>
                <w:sz w:val="24"/>
                <w:szCs w:val="24"/>
              </w:rPr>
              <w:br/>
              <w:t>RBC Capital Markets, LLC</w:t>
            </w:r>
            <w:r w:rsidRPr="00D96A3A">
              <w:rPr>
                <w:rFonts w:ascii="Times New Roman" w:eastAsia="Times New Roman" w:hAnsi="Times New Roman" w:cs="Times New Roman"/>
                <w:sz w:val="24"/>
                <w:szCs w:val="24"/>
              </w:rPr>
              <w:br/>
              <w:t>RBS Securities Inc.</w:t>
            </w:r>
            <w:r w:rsidRPr="00D96A3A">
              <w:rPr>
                <w:rFonts w:ascii="Times New Roman" w:eastAsia="Times New Roman" w:hAnsi="Times New Roman" w:cs="Times New Roman"/>
                <w:sz w:val="24"/>
                <w:szCs w:val="24"/>
              </w:rPr>
              <w:br/>
              <w:t>SG Americas Securities, LLC</w:t>
            </w:r>
            <w:r w:rsidRPr="00D96A3A">
              <w:rPr>
                <w:rFonts w:ascii="Times New Roman" w:eastAsia="Times New Roman" w:hAnsi="Times New Roman" w:cs="Times New Roman"/>
                <w:sz w:val="24"/>
                <w:szCs w:val="24"/>
              </w:rPr>
              <w:br/>
              <w:t>UBS Securities LLC.</w:t>
            </w:r>
          </w:p>
        </w:tc>
      </w:tr>
    </w:tbl>
    <w:p w:rsidR="000702A9" w:rsidRDefault="000702A9"/>
    <w:sectPr w:rsidR="000702A9" w:rsidSect="00D96A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3158A"/>
    <w:multiLevelType w:val="multilevel"/>
    <w:tmpl w:val="2596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3A"/>
    <w:rsid w:val="000702A9"/>
    <w:rsid w:val="00D96A3A"/>
    <w:rsid w:val="00EA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4F82A-0C6A-422B-8371-304E522E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6A3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96A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749173">
      <w:bodyDiv w:val="1"/>
      <w:marLeft w:val="0"/>
      <w:marRight w:val="0"/>
      <w:marTop w:val="0"/>
      <w:marBottom w:val="0"/>
      <w:divBdr>
        <w:top w:val="none" w:sz="0" w:space="0" w:color="auto"/>
        <w:left w:val="none" w:sz="0" w:space="0" w:color="auto"/>
        <w:bottom w:val="none" w:sz="0" w:space="0" w:color="auto"/>
        <w:right w:val="none" w:sz="0" w:space="0" w:color="auto"/>
      </w:divBdr>
      <w:divsChild>
        <w:div w:id="1437141708">
          <w:marLeft w:val="0"/>
          <w:marRight w:val="0"/>
          <w:marTop w:val="0"/>
          <w:marBottom w:val="0"/>
          <w:divBdr>
            <w:top w:val="none" w:sz="0" w:space="0" w:color="auto"/>
            <w:left w:val="none" w:sz="0" w:space="0" w:color="auto"/>
            <w:bottom w:val="none" w:sz="0" w:space="0" w:color="auto"/>
            <w:right w:val="none" w:sz="0" w:space="0" w:color="auto"/>
          </w:divBdr>
        </w:div>
        <w:div w:id="921333188">
          <w:marLeft w:val="0"/>
          <w:marRight w:val="0"/>
          <w:marTop w:val="0"/>
          <w:marBottom w:val="0"/>
          <w:divBdr>
            <w:top w:val="none" w:sz="0" w:space="0" w:color="auto"/>
            <w:left w:val="none" w:sz="0" w:space="0" w:color="auto"/>
            <w:bottom w:val="none" w:sz="0" w:space="0" w:color="auto"/>
            <w:right w:val="none" w:sz="0" w:space="0" w:color="auto"/>
          </w:divBdr>
        </w:div>
        <w:div w:id="1492987346">
          <w:marLeft w:val="0"/>
          <w:marRight w:val="0"/>
          <w:marTop w:val="0"/>
          <w:marBottom w:val="0"/>
          <w:divBdr>
            <w:top w:val="none" w:sz="0" w:space="0" w:color="auto"/>
            <w:left w:val="none" w:sz="0" w:space="0" w:color="auto"/>
            <w:bottom w:val="none" w:sz="0" w:space="0" w:color="auto"/>
            <w:right w:val="none" w:sz="0" w:space="0" w:color="auto"/>
          </w:divBdr>
          <w:divsChild>
            <w:div w:id="10569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yorkfed.org/markets/pridealers_current.html" TargetMode="Externa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ce.govdelivery.com/service/subscribe.html?code=USFRBNEWYORK_98"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www.newyorkfed.org/markets/pridealers_current.html" TargetMode="External"/><Relationship Id="rId4" Type="http://schemas.openxmlformats.org/officeDocument/2006/relationships/webSettings" Target="webSettings.xml"/><Relationship Id="rId9" Type="http://schemas.openxmlformats.org/officeDocument/2006/relationships/hyperlink" Target="http://www.newyorkfed.org/markets/pridealers_curr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3</cp:revision>
  <dcterms:created xsi:type="dcterms:W3CDTF">2013-10-29T18:29:00Z</dcterms:created>
  <dcterms:modified xsi:type="dcterms:W3CDTF">2013-11-05T22:29:00Z</dcterms:modified>
</cp:coreProperties>
</file>