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865D" w14:textId="4AEC3AE0" w:rsidR="005D3503" w:rsidRDefault="005D3503" w:rsidP="005D3503">
      <w:pPr>
        <w:pStyle w:val="Standard"/>
      </w:pPr>
      <w:r>
        <w:rPr>
          <w:sz w:val="24"/>
          <w:szCs w:val="24"/>
        </w:rPr>
        <w:t>Susan Peters.  “D</w:t>
      </w:r>
      <w:r w:rsidR="00DA7EF9">
        <w:rPr>
          <w:sz w:val="24"/>
          <w:szCs w:val="24"/>
        </w:rPr>
        <w:t xml:space="preserve">ebt Drives War and War Drives Debt: </w:t>
      </w:r>
      <w:r>
        <w:rPr>
          <w:sz w:val="24"/>
          <w:szCs w:val="24"/>
        </w:rPr>
        <w:t>The Powers of Bank Credit Creation in World War I</w:t>
      </w:r>
      <w:r w:rsidR="00DA7EF9">
        <w:rPr>
          <w:sz w:val="24"/>
          <w:szCs w:val="24"/>
        </w:rPr>
        <w:t>.</w:t>
      </w:r>
      <w:r>
        <w:rPr>
          <w:sz w:val="24"/>
          <w:szCs w:val="24"/>
        </w:rPr>
        <w:t>” Valatie, N.Y.: American Monetary Institute, 2019</w:t>
      </w:r>
    </w:p>
    <w:p w14:paraId="7FC46D35" w14:textId="77777777" w:rsidR="005D3503" w:rsidRDefault="005D3503" w:rsidP="005D3503">
      <w:pPr>
        <w:pStyle w:val="Standard"/>
      </w:pPr>
    </w:p>
    <w:p w14:paraId="2D9E78C6" w14:textId="3A261B9B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 xml:space="preserve">Carroll Quigley, </w:t>
      </w:r>
      <w:r w:rsidR="005D3503" w:rsidRPr="000244B8">
        <w:rPr>
          <w:i/>
          <w:iCs/>
        </w:rPr>
        <w:t>Tragedy and Hope</w:t>
      </w:r>
      <w:r w:rsidR="005D3503">
        <w:t>, p. 226</w:t>
      </w:r>
    </w:p>
    <w:p w14:paraId="338C1AC6" w14:textId="1BC0450F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 xml:space="preserve">Carroll Quigley, </w:t>
      </w:r>
      <w:r w:rsidR="005D3503" w:rsidRPr="000244B8">
        <w:rPr>
          <w:i/>
          <w:iCs/>
        </w:rPr>
        <w:t>Tragedy and Hope</w:t>
      </w:r>
      <w:r w:rsidR="005D3503">
        <w:t>, pp. 255-256</w:t>
      </w:r>
    </w:p>
    <w:p w14:paraId="20EBE56A" w14:textId="003C1362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 xml:space="preserve">Carroll Quigley, </w:t>
      </w:r>
      <w:r w:rsidR="005D3503" w:rsidRPr="000244B8">
        <w:rPr>
          <w:i/>
          <w:iCs/>
        </w:rPr>
        <w:t>Tragedy and Hope</w:t>
      </w:r>
      <w:r w:rsidR="005D3503">
        <w:t>, p. 227.</w:t>
      </w:r>
    </w:p>
    <w:p w14:paraId="14CCD1ED" w14:textId="3009BA47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 xml:space="preserve">Carroll Quigley, </w:t>
      </w:r>
      <w:r w:rsidR="005D3503" w:rsidRPr="000244B8">
        <w:rPr>
          <w:i/>
          <w:iCs/>
        </w:rPr>
        <w:t>Tragedy and Hope</w:t>
      </w:r>
      <w:r w:rsidR="005D3503">
        <w:t>, p. 27.</w:t>
      </w:r>
    </w:p>
    <w:p w14:paraId="109E3057" w14:textId="4D401F9D" w:rsidR="005D3503" w:rsidRPr="000244B8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>Benjamin Franklin</w:t>
      </w:r>
      <w:r w:rsidR="005D3503" w:rsidRPr="000244B8">
        <w:rPr>
          <w:i/>
          <w:iCs/>
        </w:rPr>
        <w:t>, Autobiography of Benjamin Franklin</w:t>
      </w:r>
      <w:r w:rsidR="00BA5A22" w:rsidRPr="000244B8">
        <w:t>, Chapter VIII, first paragraph.</w:t>
      </w:r>
    </w:p>
    <w:p w14:paraId="0AF27C7D" w14:textId="5E2BB15D" w:rsidR="00807E53" w:rsidRPr="000244B8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830961" w:rsidRPr="000244B8">
        <w:t xml:space="preserve">Stephen </w:t>
      </w:r>
      <w:proofErr w:type="spellStart"/>
      <w:r w:rsidR="00830961" w:rsidRPr="000244B8">
        <w:t>Zarlenga</w:t>
      </w:r>
      <w:proofErr w:type="spellEnd"/>
      <w:r w:rsidR="00830961" w:rsidRPr="000244B8">
        <w:t>, “The Lost Science of Money &amp; Monetary Justice Using Government Created Money to Fund</w:t>
      </w:r>
    </w:p>
    <w:p w14:paraId="1FB138C6" w14:textId="2FDD7704" w:rsidR="005D3503" w:rsidRPr="000244B8" w:rsidRDefault="00807E53" w:rsidP="00807E53">
      <w:pPr>
        <w:suppressAutoHyphens/>
        <w:autoSpaceDN w:val="0"/>
        <w:spacing w:after="0"/>
        <w:ind w:left="360"/>
        <w:textAlignment w:val="baseline"/>
      </w:pPr>
      <w:r w:rsidRPr="000244B8">
        <w:t xml:space="preserve">        </w:t>
      </w:r>
      <w:r w:rsidR="00E6203D">
        <w:t xml:space="preserve"> </w:t>
      </w:r>
      <w:r w:rsidR="00830961" w:rsidRPr="000244B8">
        <w:t>Public Projects,” Talk at the House of Lords.  May 4, 2004.</w:t>
      </w:r>
    </w:p>
    <w:p w14:paraId="66E87FC2" w14:textId="59767117" w:rsidR="00807E53" w:rsidRPr="00807E5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</w:t>
      </w:r>
      <w:r w:rsidR="005D3503">
        <w:t>Alexander Hamilton, F</w:t>
      </w:r>
      <w:r w:rsidR="005D3503">
        <w:rPr>
          <w:rFonts w:cs="Calibri"/>
        </w:rPr>
        <w:t>inal Version of the Second Report on the Further Provision Necessary for Establishing</w:t>
      </w:r>
    </w:p>
    <w:p w14:paraId="6CDBBC20" w14:textId="35F0298A" w:rsidR="005D3503" w:rsidRDefault="00807E53" w:rsidP="00807E53">
      <w:pPr>
        <w:suppressAutoHyphens/>
        <w:autoSpaceDN w:val="0"/>
        <w:spacing w:after="0"/>
        <w:ind w:left="360"/>
        <w:textAlignment w:val="baseline"/>
      </w:pPr>
      <w:r>
        <w:rPr>
          <w:rFonts w:cs="Calibri"/>
        </w:rPr>
        <w:t xml:space="preserve">      </w:t>
      </w:r>
      <w:r w:rsidR="005D3503" w:rsidRPr="00807E53">
        <w:rPr>
          <w:rFonts w:cs="Calibri"/>
        </w:rPr>
        <w:t xml:space="preserve"> </w:t>
      </w:r>
      <w:r w:rsidR="00E6203D">
        <w:rPr>
          <w:rFonts w:cs="Calibri"/>
        </w:rPr>
        <w:t xml:space="preserve"> </w:t>
      </w:r>
      <w:r w:rsidR="005D3503" w:rsidRPr="00807E53">
        <w:rPr>
          <w:rFonts w:cs="Calibri"/>
        </w:rPr>
        <w:t>Public Credit (Report on a National Bank), 13 December 1790</w:t>
      </w:r>
    </w:p>
    <w:p w14:paraId="44CCFA4E" w14:textId="138A2668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rPr>
          <w:rFonts w:cs="Calibri"/>
        </w:rPr>
        <w:t xml:space="preserve"> </w:t>
      </w:r>
      <w:r w:rsidR="005D3503">
        <w:rPr>
          <w:rFonts w:cs="Calibri"/>
        </w:rPr>
        <w:t xml:space="preserve">Bray Hammond, </w:t>
      </w:r>
      <w:r w:rsidR="005D3503" w:rsidRPr="00184F8D">
        <w:rPr>
          <w:rFonts w:cs="Calibri"/>
          <w:i/>
          <w:iCs/>
        </w:rPr>
        <w:t>Banks and Politics in America: From the Revolution to the Civil War</w:t>
      </w:r>
      <w:r w:rsidR="005D3503">
        <w:rPr>
          <w:rFonts w:cs="Calibri"/>
        </w:rPr>
        <w:t>, p. 69</w:t>
      </w:r>
    </w:p>
    <w:p w14:paraId="06AB64B8" w14:textId="7267CF57" w:rsidR="005D3503" w:rsidRDefault="00E6203D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rPr>
          <w:rFonts w:cs="Calibri"/>
        </w:rPr>
        <w:t xml:space="preserve"> </w:t>
      </w:r>
      <w:r w:rsidR="005D3503">
        <w:rPr>
          <w:rFonts w:cs="Calibri"/>
        </w:rPr>
        <w:t xml:space="preserve">Bray Hammond, </w:t>
      </w:r>
      <w:r w:rsidR="005D3503" w:rsidRPr="00184F8D">
        <w:rPr>
          <w:rFonts w:cs="Calibri"/>
          <w:i/>
          <w:iCs/>
        </w:rPr>
        <w:t>Banks and Politics in America: From the Revolution to the Civil War</w:t>
      </w:r>
      <w:r w:rsidR="005D3503">
        <w:rPr>
          <w:rFonts w:cs="Calibri"/>
        </w:rPr>
        <w:t>, p. 6</w:t>
      </w:r>
    </w:p>
    <w:p w14:paraId="7843AD46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rPr>
          <w:rFonts w:cs="Calibri"/>
        </w:rPr>
        <w:t xml:space="preserve"> Bray Hammond, </w:t>
      </w:r>
      <w:r w:rsidRPr="00184F8D">
        <w:rPr>
          <w:rFonts w:cs="Calibri"/>
          <w:i/>
          <w:iCs/>
        </w:rPr>
        <w:t>Banks and Politics in America: From the Revolution to the Civil War</w:t>
      </w:r>
      <w:r>
        <w:rPr>
          <w:rFonts w:cs="Calibri"/>
        </w:rPr>
        <w:t>, p. ix</w:t>
      </w:r>
    </w:p>
    <w:p w14:paraId="575B4CBE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rPr>
          <w:rFonts w:cs="Calibri"/>
        </w:rPr>
        <w:t xml:space="preserve"> Bray Hammond, </w:t>
      </w:r>
      <w:r w:rsidRPr="00184F8D">
        <w:rPr>
          <w:rFonts w:cs="Calibri"/>
          <w:i/>
          <w:iCs/>
        </w:rPr>
        <w:t>Banks and Politics in America: From the Revolution to the Civil War</w:t>
      </w:r>
      <w:r>
        <w:rPr>
          <w:rFonts w:cs="Calibri"/>
        </w:rPr>
        <w:t>, p. 731</w:t>
      </w:r>
    </w:p>
    <w:p w14:paraId="649BE7AB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Lewis Corey, </w:t>
      </w:r>
      <w:r w:rsidRPr="0073184C">
        <w:rPr>
          <w:i/>
          <w:iCs/>
        </w:rPr>
        <w:t>The House of Morgan</w:t>
      </w:r>
      <w:r>
        <w:t>, p. 81</w:t>
      </w:r>
    </w:p>
    <w:p w14:paraId="4C13725F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Lewis Corey, </w:t>
      </w:r>
      <w:r w:rsidRPr="0073184C">
        <w:rPr>
          <w:i/>
          <w:iCs/>
        </w:rPr>
        <w:t>The House of Morgan</w:t>
      </w:r>
      <w:r>
        <w:t>, p. 88</w:t>
      </w:r>
    </w:p>
    <w:p w14:paraId="21178BE4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Lewis Corey, </w:t>
      </w:r>
      <w:r w:rsidRPr="0073184C">
        <w:rPr>
          <w:i/>
          <w:iCs/>
        </w:rPr>
        <w:t>The House of Morgan</w:t>
      </w:r>
      <w:r>
        <w:t>, p. 41</w:t>
      </w:r>
    </w:p>
    <w:p w14:paraId="1F5E7A74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Carroll Quigley, </w:t>
      </w:r>
      <w:r w:rsidRPr="0073184C">
        <w:rPr>
          <w:i/>
          <w:iCs/>
        </w:rPr>
        <w:t>Tragedy and Hope</w:t>
      </w:r>
      <w:r>
        <w:t xml:space="preserve">, p. 539  </w:t>
      </w:r>
    </w:p>
    <w:p w14:paraId="068C78B4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Charles R. </w:t>
      </w:r>
      <w:proofErr w:type="spellStart"/>
      <w:r>
        <w:t>Geisst</w:t>
      </w:r>
      <w:proofErr w:type="spellEnd"/>
      <w:r>
        <w:t xml:space="preserve">, </w:t>
      </w:r>
      <w:r w:rsidRPr="0073184C">
        <w:rPr>
          <w:i/>
          <w:iCs/>
        </w:rPr>
        <w:t>Wall Street: A History</w:t>
      </w:r>
      <w:r>
        <w:t xml:space="preserve">, p. 18  </w:t>
      </w:r>
    </w:p>
    <w:p w14:paraId="55FF4C95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Gustavus Myers, </w:t>
      </w:r>
      <w:r w:rsidRPr="0073184C">
        <w:rPr>
          <w:i/>
          <w:iCs/>
        </w:rPr>
        <w:t>History of the Great American Fortunes</w:t>
      </w:r>
      <w:r>
        <w:t>, Vol. III, p. 229</w:t>
      </w:r>
    </w:p>
    <w:p w14:paraId="3E29DD00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Gustavus Myers, </w:t>
      </w:r>
      <w:r w:rsidRPr="0073184C">
        <w:rPr>
          <w:i/>
          <w:iCs/>
        </w:rPr>
        <w:t>History of the Great American Fortunes</w:t>
      </w:r>
      <w:r>
        <w:t>, Vol. III, p. 265</w:t>
      </w:r>
    </w:p>
    <w:p w14:paraId="67101FEA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Gustavus Myers, </w:t>
      </w:r>
      <w:r w:rsidRPr="0073184C">
        <w:rPr>
          <w:i/>
          <w:iCs/>
        </w:rPr>
        <w:t>History of the Great American Fortunes</w:t>
      </w:r>
      <w:r>
        <w:t>, Vol. III, p. 263</w:t>
      </w:r>
    </w:p>
    <w:p w14:paraId="70A548D2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Gabriel Kolko, </w:t>
      </w:r>
      <w:r w:rsidRPr="0073184C">
        <w:rPr>
          <w:i/>
          <w:iCs/>
        </w:rPr>
        <w:t>The Triumph of Conservatism</w:t>
      </w:r>
      <w:r>
        <w:t>, p. 142</w:t>
      </w:r>
    </w:p>
    <w:p w14:paraId="0FE780F3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Lewis Corey, </w:t>
      </w:r>
      <w:r w:rsidRPr="0073184C">
        <w:rPr>
          <w:i/>
          <w:iCs/>
        </w:rPr>
        <w:t>The House of Morgan</w:t>
      </w:r>
      <w:r>
        <w:t>, p. 50</w:t>
      </w:r>
    </w:p>
    <w:p w14:paraId="3F4AAA0B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F. William Engdahl, </w:t>
      </w:r>
      <w:r w:rsidRPr="0073184C">
        <w:rPr>
          <w:i/>
          <w:iCs/>
        </w:rPr>
        <w:t>Gods of Money</w:t>
      </w:r>
      <w:r>
        <w:t>, p. 28</w:t>
      </w:r>
    </w:p>
    <w:p w14:paraId="2E6A3194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Stephen </w:t>
      </w:r>
      <w:proofErr w:type="spellStart"/>
      <w:r>
        <w:t>Zarlenga</w:t>
      </w:r>
      <w:proofErr w:type="spellEnd"/>
      <w:r>
        <w:t xml:space="preserve">, </w:t>
      </w:r>
      <w:r w:rsidRPr="0073184C">
        <w:rPr>
          <w:i/>
          <w:iCs/>
        </w:rPr>
        <w:t>The Lost Science of Money</w:t>
      </w:r>
      <w:r>
        <w:t>, p. 479</w:t>
      </w:r>
    </w:p>
    <w:p w14:paraId="4B55E24F" w14:textId="77777777" w:rsidR="00E6203D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Money Trust Investigation, 1913</w:t>
      </w:r>
      <w:r w:rsidR="004E0F3F">
        <w:t>.  Part II.</w:t>
      </w:r>
      <w:r w:rsidR="004E0F3F">
        <w:rPr>
          <w:rFonts w:cstheme="minorHAnsi"/>
        </w:rPr>
        <w:t>─</w:t>
      </w:r>
      <w:r w:rsidR="004E0F3F">
        <w:t>Review of the Evidence.  Chapter Third.</w:t>
      </w:r>
      <w:r w:rsidR="004E0F3F">
        <w:rPr>
          <w:rFonts w:cstheme="minorHAnsi"/>
        </w:rPr>
        <w:t>─</w:t>
      </w:r>
      <w:r w:rsidR="004E0F3F">
        <w:t>Concentration of Control of</w:t>
      </w:r>
    </w:p>
    <w:p w14:paraId="3AFCBC7A" w14:textId="3E70CD99" w:rsidR="005D3503" w:rsidRDefault="00E6203D" w:rsidP="00E6203D">
      <w:pPr>
        <w:suppressAutoHyphens/>
        <w:autoSpaceDN w:val="0"/>
        <w:spacing w:after="0"/>
        <w:ind w:left="360"/>
        <w:textAlignment w:val="baseline"/>
      </w:pPr>
      <w:r>
        <w:t xml:space="preserve">      </w:t>
      </w:r>
      <w:r w:rsidR="004E0F3F">
        <w:t xml:space="preserve"> </w:t>
      </w:r>
      <w:r>
        <w:t xml:space="preserve"> </w:t>
      </w:r>
      <w:r w:rsidR="004E0F3F">
        <w:t>Money and Credit.  Section 4.</w:t>
      </w:r>
      <w:r w:rsidR="004E0F3F" w:rsidRPr="00E6203D">
        <w:rPr>
          <w:rFonts w:cstheme="minorHAnsi"/>
        </w:rPr>
        <w:t>─</w:t>
      </w:r>
      <w:r w:rsidR="004E0F3F">
        <w:t>A</w:t>
      </w:r>
      <w:r w:rsidR="00A26381">
        <w:t>GENTS OF CONCENTRATION</w:t>
      </w:r>
      <w:r w:rsidR="004E0F3F">
        <w:t xml:space="preserve">, p. </w:t>
      </w:r>
      <w:r w:rsidR="005D3503">
        <w:t>56</w:t>
      </w:r>
      <w:r w:rsidR="004E0F3F">
        <w:t>.</w:t>
      </w:r>
    </w:p>
    <w:p w14:paraId="63FA7BF9" w14:textId="77777777" w:rsidR="00E6203D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</w:pPr>
      <w:r>
        <w:t xml:space="preserve"> Money Trust Investigation, 1913, Exhibit 134-C</w:t>
      </w:r>
      <w:r w:rsidR="00A26381">
        <w:t>.  December 18, 1912.  EXPLANATION OF TABLE OF</w:t>
      </w:r>
    </w:p>
    <w:p w14:paraId="0CD779A0" w14:textId="785760A0" w:rsidR="005D3503" w:rsidRDefault="00E6203D" w:rsidP="00E6203D">
      <w:pPr>
        <w:suppressAutoHyphens/>
        <w:autoSpaceDN w:val="0"/>
        <w:spacing w:after="0"/>
        <w:ind w:left="360"/>
        <w:textAlignment w:val="baseline"/>
      </w:pPr>
      <w:r>
        <w:t xml:space="preserve">      </w:t>
      </w:r>
      <w:r w:rsidR="00A26381">
        <w:t xml:space="preserve"> </w:t>
      </w:r>
      <w:r>
        <w:t xml:space="preserve"> </w:t>
      </w:r>
      <w:r w:rsidR="00A26381">
        <w:t>INTERLOCKING DIRECTORATES</w:t>
      </w:r>
      <w:r w:rsidR="005D3503">
        <w:t>,</w:t>
      </w:r>
      <w:r w:rsidR="00A26381">
        <w:t xml:space="preserve"> </w:t>
      </w:r>
      <w:r w:rsidR="005D3503">
        <w:t>p. 2</w:t>
      </w:r>
    </w:p>
    <w:p w14:paraId="164BF59D" w14:textId="77777777" w:rsidR="00E6203D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t xml:space="preserve"> Money Trust Investigation, 1913, Exhibit</w:t>
      </w:r>
      <w:r w:rsidR="00B33424">
        <w:t xml:space="preserve"> No.</w:t>
      </w:r>
      <w:r>
        <w:t xml:space="preserve"> 243</w:t>
      </w:r>
      <w:r w:rsidR="00B33424">
        <w:rPr>
          <w:rFonts w:cstheme="minorHAnsi"/>
        </w:rPr>
        <w:t>─</w:t>
      </w:r>
      <w:r w:rsidR="00B33424">
        <w:t>Feb. 25, 1913:  Diagram Showing Affiliations</w:t>
      </w:r>
      <w:r w:rsidR="00D934F3">
        <w:t xml:space="preserve"> Of </w:t>
      </w:r>
      <w:proofErr w:type="spellStart"/>
      <w:r w:rsidR="00D934F3">
        <w:t>J.P.Morgan</w:t>
      </w:r>
      <w:proofErr w:type="spellEnd"/>
      <w:r w:rsidR="00D934F3">
        <w:t xml:space="preserve"> &amp;</w:t>
      </w:r>
    </w:p>
    <w:p w14:paraId="431C579B" w14:textId="77777777" w:rsidR="00E6203D" w:rsidRDefault="00E6203D" w:rsidP="00E6203D">
      <w:pPr>
        <w:suppressAutoHyphens/>
        <w:autoSpaceDN w:val="0"/>
        <w:spacing w:after="0" w:line="240" w:lineRule="auto"/>
        <w:ind w:left="360"/>
        <w:textAlignment w:val="baseline"/>
      </w:pPr>
      <w:r>
        <w:t xml:space="preserve">      </w:t>
      </w:r>
      <w:r w:rsidR="00D934F3">
        <w:t xml:space="preserve"> </w:t>
      </w:r>
      <w:r>
        <w:t xml:space="preserve"> </w:t>
      </w:r>
      <w:r w:rsidR="00D934F3">
        <w:t>Co., National City Bank, First National Bank, Guaranty Trust Co. And Bankers Trust Co. Of New York City With</w:t>
      </w:r>
    </w:p>
    <w:p w14:paraId="4161B8C8" w14:textId="625160A8" w:rsidR="005D3503" w:rsidRDefault="00E6203D" w:rsidP="00E6203D">
      <w:pPr>
        <w:suppressAutoHyphens/>
        <w:autoSpaceDN w:val="0"/>
        <w:spacing w:after="0" w:line="240" w:lineRule="auto"/>
        <w:ind w:left="360"/>
        <w:textAlignment w:val="baseline"/>
      </w:pPr>
      <w:r>
        <w:t xml:space="preserve">      </w:t>
      </w:r>
      <w:r w:rsidR="00D934F3">
        <w:t xml:space="preserve"> </w:t>
      </w:r>
      <w:r>
        <w:t xml:space="preserve"> </w:t>
      </w:r>
      <w:r w:rsidR="00D934F3">
        <w:t>Large Corporations Of The United States.</w:t>
      </w:r>
    </w:p>
    <w:p w14:paraId="5CFA9956" w14:textId="4993D18C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t xml:space="preserve"> Money Trust Investigation, 1913, Exhibit </w:t>
      </w:r>
      <w:r w:rsidR="00D934F3">
        <w:t xml:space="preserve">No. </w:t>
      </w:r>
      <w:r>
        <w:t>244</w:t>
      </w:r>
    </w:p>
    <w:p w14:paraId="14D9596D" w14:textId="11D57F12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t xml:space="preserve"> Charles A. Lindbergh, </w:t>
      </w:r>
      <w:r w:rsidRPr="00F71457">
        <w:rPr>
          <w:i/>
          <w:iCs/>
        </w:rPr>
        <w:t xml:space="preserve">Banking and Currency and </w:t>
      </w:r>
      <w:r w:rsidR="00BC358A">
        <w:rPr>
          <w:i/>
          <w:iCs/>
        </w:rPr>
        <w:t>t</w:t>
      </w:r>
      <w:r w:rsidRPr="00F71457">
        <w:rPr>
          <w:i/>
          <w:iCs/>
        </w:rPr>
        <w:t>he Money Trust</w:t>
      </w:r>
      <w:r>
        <w:t>, 1913, p. 104</w:t>
      </w:r>
    </w:p>
    <w:p w14:paraId="714874A0" w14:textId="66F5ECB6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proofErr w:type="spellStart"/>
      <w:r>
        <w:rPr>
          <w:rFonts w:cs="Calibri"/>
        </w:rPr>
        <w:t>Burnice</w:t>
      </w:r>
      <w:proofErr w:type="spellEnd"/>
      <w:r>
        <w:rPr>
          <w:rFonts w:cs="Calibri"/>
        </w:rPr>
        <w:t xml:space="preserve"> </w:t>
      </w:r>
      <w:r w:rsidR="005A36B7">
        <w:rPr>
          <w:rFonts w:cs="Calibri"/>
        </w:rPr>
        <w:t xml:space="preserve">L. </w:t>
      </w:r>
      <w:r>
        <w:rPr>
          <w:rFonts w:cs="Calibri"/>
        </w:rPr>
        <w:t xml:space="preserve">Russ, </w:t>
      </w:r>
      <w:r w:rsidRPr="005A36B7">
        <w:rPr>
          <w:rFonts w:cs="Calibri"/>
          <w:i/>
          <w:iCs/>
        </w:rPr>
        <w:t>Total Eclipse of Freedom</w:t>
      </w:r>
      <w:r>
        <w:rPr>
          <w:rFonts w:cs="Calibri"/>
        </w:rPr>
        <w:t xml:space="preserve">, </w:t>
      </w:r>
      <w:r w:rsidR="00E6203D">
        <w:rPr>
          <w:rFonts w:cs="Calibri"/>
        </w:rPr>
        <w:t xml:space="preserve"> </w:t>
      </w:r>
      <w:r w:rsidR="00792D92" w:rsidRPr="00792D92">
        <w:rPr>
          <w:rFonts w:cs="Calibri"/>
        </w:rPr>
        <w:t>https://www.lulu.com/shop/search.ep?keyWords=Total+Eclipse+of+Freedom&amp;title=Total+Eclipse+of+Freedom&amp;sorter=relevance-desc</w:t>
      </w:r>
    </w:p>
    <w:p w14:paraId="03AF09A7" w14:textId="746C7E40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r>
        <w:t xml:space="preserve">Charles A. Lindbergh, </w:t>
      </w:r>
      <w:r w:rsidRPr="006428B0">
        <w:rPr>
          <w:i/>
          <w:iCs/>
        </w:rPr>
        <w:t xml:space="preserve">Banking and Currency and </w:t>
      </w:r>
      <w:r w:rsidR="006428B0" w:rsidRPr="006428B0">
        <w:rPr>
          <w:i/>
          <w:iCs/>
        </w:rPr>
        <w:t>t</w:t>
      </w:r>
      <w:r w:rsidRPr="006428B0">
        <w:rPr>
          <w:i/>
          <w:iCs/>
        </w:rPr>
        <w:t>he Money Trust</w:t>
      </w:r>
      <w:r>
        <w:t>, 1913, p. 141</w:t>
      </w:r>
    </w:p>
    <w:p w14:paraId="324145C2" w14:textId="77777777" w:rsidR="006A2BD2" w:rsidRPr="006A2BD2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Quoting Richard Timberlake, 1978, p. 173, </w:t>
      </w:r>
      <w:r w:rsidRPr="006428B0">
        <w:rPr>
          <w:rFonts w:cs="Calibri"/>
          <w:i/>
          <w:iCs/>
        </w:rPr>
        <w:t>The Origins of Central Banking in the United States</w:t>
      </w:r>
      <w:r>
        <w:rPr>
          <w:rFonts w:cs="Calibri"/>
        </w:rPr>
        <w:t>.  Cambridge,</w:t>
      </w:r>
    </w:p>
    <w:p w14:paraId="6D11F1F4" w14:textId="215B1B77" w:rsidR="005D3503" w:rsidRDefault="006A2BD2" w:rsidP="006A2BD2">
      <w:pPr>
        <w:suppressAutoHyphens/>
        <w:autoSpaceDN w:val="0"/>
        <w:spacing w:after="0" w:line="240" w:lineRule="auto"/>
        <w:ind w:left="360"/>
        <w:textAlignment w:val="baseline"/>
      </w:pPr>
      <w:r>
        <w:rPr>
          <w:rFonts w:cs="Calibri"/>
        </w:rPr>
        <w:t xml:space="preserve">       </w:t>
      </w:r>
      <w:r w:rsidRPr="006A2BD2">
        <w:rPr>
          <w:rFonts w:cs="Calibri"/>
        </w:rPr>
        <w:t xml:space="preserve"> </w:t>
      </w:r>
      <w:r w:rsidR="005D3503" w:rsidRPr="006A2BD2">
        <w:rPr>
          <w:rFonts w:cs="Calibri"/>
        </w:rPr>
        <w:t xml:space="preserve">Harvard University Press. As found in Garbade, 2012, p. 13.  </w:t>
      </w:r>
    </w:p>
    <w:p w14:paraId="15D82D13" w14:textId="77777777" w:rsidR="006A2BD2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r>
        <w:t>The Statutes at large of the United States of America, Vol. XXXI, 56th Congress, Session I (Washington:</w:t>
      </w:r>
    </w:p>
    <w:p w14:paraId="647C16DF" w14:textId="7A19E018" w:rsidR="005D3503" w:rsidRDefault="006A2BD2" w:rsidP="006A2BD2">
      <w:pPr>
        <w:suppressAutoHyphens/>
        <w:autoSpaceDN w:val="0"/>
        <w:spacing w:after="0" w:line="240" w:lineRule="auto"/>
        <w:ind w:left="360"/>
        <w:textAlignment w:val="baseline"/>
      </w:pPr>
      <w:r>
        <w:t xml:space="preserve">        </w:t>
      </w:r>
      <w:r w:rsidR="005D3503">
        <w:t>Government Printing Office, 1901), pp. 45-50.</w:t>
      </w:r>
    </w:p>
    <w:p w14:paraId="07866552" w14:textId="6A06064C" w:rsidR="005D3503" w:rsidRPr="008F1676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Kenneth Garbade, </w:t>
      </w:r>
      <w:r w:rsidRPr="006428B0">
        <w:rPr>
          <w:rFonts w:cs="Calibri"/>
          <w:i/>
          <w:iCs/>
        </w:rPr>
        <w:t>Birth of a Market</w:t>
      </w:r>
      <w:r>
        <w:rPr>
          <w:rFonts w:cs="Calibri"/>
        </w:rPr>
        <w:t>, 2012, p. 17</w:t>
      </w:r>
    </w:p>
    <w:p w14:paraId="49E9BB61" w14:textId="2CF48286" w:rsidR="005D3503" w:rsidRDefault="008F1676" w:rsidP="00317B8B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 w:rsidRPr="008F1676">
        <w:rPr>
          <w:rFonts w:cs="Calibri"/>
        </w:rPr>
        <w:lastRenderedPageBreak/>
        <w:t xml:space="preserve"> </w:t>
      </w:r>
      <w:r w:rsidR="005D3503" w:rsidRPr="008F1676">
        <w:rPr>
          <w:rFonts w:cs="Calibri"/>
        </w:rPr>
        <w:t xml:space="preserve">Milton Friedman &amp; Anna Schwartz, 1963, </w:t>
      </w:r>
      <w:r w:rsidR="005D3503" w:rsidRPr="008F1676">
        <w:rPr>
          <w:i/>
          <w:iCs/>
        </w:rPr>
        <w:t>A Monetary History of the United States</w:t>
      </w:r>
      <w:r w:rsidR="005D3503">
        <w:t>, 1867-1960, pp. 21-22</w:t>
      </w:r>
    </w:p>
    <w:p w14:paraId="24C465FE" w14:textId="77777777" w:rsidR="008B1A23" w:rsidRDefault="00584781" w:rsidP="008B1A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hyperlink r:id="rId8" w:history="1">
        <w:r w:rsidR="008B1A23">
          <w:rPr>
            <w:rFonts w:cs="Calibri"/>
            <w:color w:val="000000"/>
            <w:sz w:val="24"/>
            <w:szCs w:val="24"/>
          </w:rPr>
          <w:t xml:space="preserve">Federal Reserve Act : Public Law 63-43, 63d Congress, H.R. 7837: An Act to Provide for the  Establishment of Federal Reserve Banks, to Furnish an Elastic Currency, to Afford Means of Rediscounting Commercial Paper, to Establish a More Effective Supervision of Banking in the United States, and for Other Purposes, </w:t>
        </w:r>
      </w:hyperlink>
      <w:r w:rsidR="008B1A23">
        <w:rPr>
          <w:rFonts w:cs="Calibri"/>
          <w:color w:val="000000"/>
          <w:sz w:val="24"/>
          <w:szCs w:val="24"/>
        </w:rPr>
        <w:t>December 23, 1913, from https://fraser.stlouisfed.org/title/966</w:t>
      </w:r>
    </w:p>
    <w:p w14:paraId="1D8997AB" w14:textId="77777777" w:rsidR="008B1A23" w:rsidRDefault="008B1A23" w:rsidP="008B1A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hyperlink r:id="rId9" w:history="1">
        <w:r>
          <w:t xml:space="preserve">Federal Reserve Act : Public Law 63-43, 63d Congress, H.R. 7837.  </w:t>
        </w:r>
      </w:hyperlink>
      <w:r>
        <w:rPr>
          <w:rFonts w:cs="Calibri"/>
          <w:color w:val="000000"/>
          <w:sz w:val="24"/>
          <w:szCs w:val="24"/>
        </w:rPr>
        <w:t>December 23, 1913, from https://fraser.stlouisfed.org/title/966</w:t>
      </w:r>
    </w:p>
    <w:p w14:paraId="428C3F28" w14:textId="77777777" w:rsidR="008B1A23" w:rsidRDefault="008B1A23" w:rsidP="008B1A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Yale University Archives, Manuscript and Archives, New Haven, Connecticut.  Call Number:  MS 535.  Paul Moritz Warburg Papers.  Box 3, Folder 30.  Letter dated 2-29-26 from Warburg to Carter Glass, pp. 5-6</w:t>
      </w:r>
    </w:p>
    <w:p w14:paraId="195FB8AD" w14:textId="77777777" w:rsidR="008B1A23" w:rsidRDefault="008B1A23" w:rsidP="008B1A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hyperlink r:id="rId10" w:history="1">
        <w:r>
          <w:t xml:space="preserve">Federal Reserve Act : Public Law 63-43, 63d Congress, H.R. 7837.  </w:t>
        </w:r>
      </w:hyperlink>
      <w:r>
        <w:rPr>
          <w:rFonts w:cs="Calibri"/>
          <w:color w:val="000000"/>
          <w:sz w:val="24"/>
          <w:szCs w:val="24"/>
        </w:rPr>
        <w:t>December 23, 1913, from https://fraser.stlouisfed.org/title/966</w:t>
      </w:r>
    </w:p>
    <w:p w14:paraId="26C641BF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Milton Friedman &amp; Anna Schwartz, 1963, </w:t>
      </w:r>
      <w:r w:rsidRPr="006428B0">
        <w:rPr>
          <w:i/>
          <w:iCs/>
        </w:rPr>
        <w:t>A Monetary History of the United States</w:t>
      </w:r>
      <w:r>
        <w:t>, 1867-1960, p. 190</w:t>
      </w:r>
    </w:p>
    <w:p w14:paraId="1ED4F722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Milton Friedman &amp; Anna Schwartz, 1963, </w:t>
      </w:r>
      <w:r w:rsidRPr="006428B0">
        <w:rPr>
          <w:i/>
          <w:iCs/>
        </w:rPr>
        <w:t>A Monetary History of the United States</w:t>
      </w:r>
      <w:r>
        <w:t>, 1867-1960, p. 190</w:t>
      </w:r>
    </w:p>
    <w:p w14:paraId="76EA021E" w14:textId="77777777" w:rsidR="006428B0" w:rsidRPr="006428B0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Bush to Warburg, August 7, 1913, in Warburg, Federal Reserve System, 1:679, quoted in James Livingston, </w:t>
      </w:r>
    </w:p>
    <w:p w14:paraId="6B199669" w14:textId="74CCC177" w:rsidR="005D3503" w:rsidRDefault="006428B0" w:rsidP="006428B0">
      <w:pPr>
        <w:suppressAutoHyphens/>
        <w:autoSpaceDN w:val="0"/>
        <w:spacing w:after="0" w:line="240" w:lineRule="auto"/>
        <w:ind w:left="360"/>
        <w:textAlignment w:val="baseline"/>
      </w:pPr>
      <w:r>
        <w:rPr>
          <w:rFonts w:cs="Calibri"/>
        </w:rPr>
        <w:t xml:space="preserve">      </w:t>
      </w:r>
      <w:r w:rsidRPr="006428B0">
        <w:rPr>
          <w:rFonts w:cs="Calibri"/>
        </w:rPr>
        <w:t xml:space="preserve">  </w:t>
      </w:r>
      <w:r w:rsidR="005D3503" w:rsidRPr="006428B0">
        <w:rPr>
          <w:rFonts w:cs="Calibri"/>
          <w:i/>
          <w:iCs/>
        </w:rPr>
        <w:t>Origins of the Federal Reserve System</w:t>
      </w:r>
      <w:r w:rsidR="005D3503" w:rsidRPr="006428B0">
        <w:rPr>
          <w:rFonts w:cs="Calibri"/>
        </w:rPr>
        <w:t>, p. 224</w:t>
      </w:r>
    </w:p>
    <w:p w14:paraId="4FAC29C9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Marriner Eccles, </w:t>
      </w:r>
      <w:r w:rsidRPr="00CC0573">
        <w:rPr>
          <w:rFonts w:cs="Calibri"/>
          <w:i/>
          <w:iCs/>
        </w:rPr>
        <w:t>Beckoning Frontiers: Public and Personal Recollections</w:t>
      </w:r>
      <w:r>
        <w:rPr>
          <w:rFonts w:cs="Calibri"/>
        </w:rPr>
        <w:t>, p. 166</w:t>
      </w:r>
    </w:p>
    <w:p w14:paraId="691F41D0" w14:textId="7A4FED5D" w:rsidR="005D3503" w:rsidRDefault="00040974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r w:rsidR="005D3503">
        <w:rPr>
          <w:rFonts w:cs="Calibri"/>
        </w:rPr>
        <w:t>Paul M. Warburg, “The Reserve Problem and the Future of the Federal Reserve System:  Address of Hon. Paul M. Warburg before the Convention of the A</w:t>
      </w:r>
      <w:r w:rsidR="00155A6E">
        <w:rPr>
          <w:rFonts w:cs="Calibri"/>
        </w:rPr>
        <w:t>merican Bankers Association</w:t>
      </w:r>
      <w:r w:rsidR="005D3503">
        <w:rPr>
          <w:rFonts w:cs="Calibri"/>
        </w:rPr>
        <w:t>, Kansas City, Mo., September 29, 1916,” Reprinted by Federal Reserve Bank of Minneapolis, p. 37</w:t>
      </w:r>
    </w:p>
    <w:p w14:paraId="6F2CAE9D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Ibid., p. 14</w:t>
      </w:r>
    </w:p>
    <w:p w14:paraId="2033A603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Ibid., pp. 28-29</w:t>
      </w:r>
    </w:p>
    <w:p w14:paraId="787486FF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Ibid., p. 38</w:t>
      </w:r>
    </w:p>
    <w:p w14:paraId="296BD089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The World War I Document Archive, 1914 Documents, “</w:t>
      </w:r>
      <w:r>
        <w:t xml:space="preserve">U.S. Policy on War Loans to Belligerents: Secretary of State Bryan to President Wilson” at </w:t>
      </w:r>
      <w:r>
        <w:rPr>
          <w:rFonts w:cs="Calibri"/>
        </w:rPr>
        <w:t xml:space="preserve">   https://wwi.lib.byu.edu/index.php/U.S._Policy_on_War_Loans_to_Belligerents</w:t>
      </w:r>
    </w:p>
    <w:p w14:paraId="282BE0D4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Stuart D. Brandes, p. 129</w:t>
      </w:r>
    </w:p>
    <w:p w14:paraId="365CDC50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F. William Engdahl, </w:t>
      </w:r>
      <w:r w:rsidRPr="00155A6E">
        <w:rPr>
          <w:rFonts w:cs="Calibri"/>
          <w:i/>
          <w:iCs/>
        </w:rPr>
        <w:t>Gods of Money:  Wall Street and the Death of the American Century</w:t>
      </w:r>
      <w:r>
        <w:rPr>
          <w:rFonts w:cs="Calibri"/>
        </w:rPr>
        <w:t>, 2009, pp. 65-66</w:t>
      </w:r>
    </w:p>
    <w:p w14:paraId="237CC4DA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Ibid., p. 66</w:t>
      </w:r>
    </w:p>
    <w:p w14:paraId="0498A63B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Milton Friedman &amp; Anna Schwartz, 1963, </w:t>
      </w:r>
      <w:r w:rsidRPr="003125BD">
        <w:rPr>
          <w:i/>
          <w:iCs/>
        </w:rPr>
        <w:t>A Monetary History of the United States</w:t>
      </w:r>
      <w:r>
        <w:t>, 1867-1960, p. 205</w:t>
      </w:r>
    </w:p>
    <w:p w14:paraId="6F2DE066" w14:textId="50D999C9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Annual Report of the Secretary of the Treasury on the State of the Finances for the Fiscal Year Ended June 30, 1915, Washington, Government Printing Office, 1916:  “Amount of reserve held and excess reserve held by Federal reserve districts [</w:t>
      </w:r>
      <w:r w:rsidR="00B032FF">
        <w:rPr>
          <w:rFonts w:cs="Calibri"/>
        </w:rPr>
        <w:t>m</w:t>
      </w:r>
      <w:r>
        <w:rPr>
          <w:rFonts w:cs="Calibri"/>
        </w:rPr>
        <w:t xml:space="preserve">ember </w:t>
      </w:r>
      <w:r w:rsidR="00B032FF">
        <w:rPr>
          <w:rFonts w:cs="Calibri"/>
        </w:rPr>
        <w:t>s</w:t>
      </w:r>
      <w:r>
        <w:rPr>
          <w:rFonts w:cs="Calibri"/>
        </w:rPr>
        <w:t xml:space="preserve">tate banks, savings banks, and trust companies </w:t>
      </w:r>
      <w:r w:rsidR="00B032FF">
        <w:rPr>
          <w:rFonts w:cs="Calibri"/>
        </w:rPr>
        <w:t>i</w:t>
      </w:r>
      <w:r>
        <w:rPr>
          <w:rFonts w:cs="Calibri"/>
        </w:rPr>
        <w:t>ncluded.]”</w:t>
      </w:r>
      <w:r w:rsidR="00B032FF">
        <w:rPr>
          <w:rFonts w:cs="Calibri"/>
        </w:rPr>
        <w:t xml:space="preserve"> (*),</w:t>
      </w:r>
      <w:r>
        <w:rPr>
          <w:rFonts w:cs="Calibri"/>
        </w:rPr>
        <w:t xml:space="preserve"> p. 545; (*) please see Walter S. Logan, 1922, “Amendments to the Federal Reserve Act</w:t>
      </w:r>
      <w:r w:rsidR="00B032FF">
        <w:rPr>
          <w:rFonts w:cs="Calibri"/>
        </w:rPr>
        <w:t>,</w:t>
      </w:r>
      <w:r>
        <w:rPr>
          <w:rFonts w:cs="Calibri"/>
        </w:rPr>
        <w:t>” p. 115, “The second important amendment to the Act was that of June 21, 1917.  Up to this time few state banks had joined the Federal Reserve System…”</w:t>
      </w:r>
    </w:p>
    <w:p w14:paraId="4E06A762" w14:textId="24EA2141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Annual Report of the Secretary of the Treasury on the State of the Finances for the Fiscal Year Ended June 30, 1917, Washington, Government Printing Office, 1918:  “Reserve required and held by national banks, together with the excess or deficiency, 1916-17</w:t>
      </w:r>
      <w:r w:rsidR="00357782">
        <w:rPr>
          <w:rFonts w:cs="Calibri"/>
        </w:rPr>
        <w:t>,</w:t>
      </w:r>
      <w:r>
        <w:rPr>
          <w:rFonts w:cs="Calibri"/>
        </w:rPr>
        <w:t>” p. 579</w:t>
      </w:r>
    </w:p>
    <w:p w14:paraId="70503E07" w14:textId="46EDA7B5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Annual Report of the Secretary of the Treasury on the State of the Finances for the Fiscal Year Ended June 30, 1915, Washington, Government Printing Office, 1916:  “Amount of reserve held and excess reserve held by Federal reserve districts [</w:t>
      </w:r>
      <w:r w:rsidR="00B032FF">
        <w:rPr>
          <w:rFonts w:cs="Calibri"/>
        </w:rPr>
        <w:t>m</w:t>
      </w:r>
      <w:r>
        <w:rPr>
          <w:rFonts w:cs="Calibri"/>
        </w:rPr>
        <w:t xml:space="preserve">ember </w:t>
      </w:r>
      <w:r w:rsidR="00B032FF">
        <w:rPr>
          <w:rFonts w:cs="Calibri"/>
        </w:rPr>
        <w:t>s</w:t>
      </w:r>
      <w:r>
        <w:rPr>
          <w:rFonts w:cs="Calibri"/>
        </w:rPr>
        <w:t xml:space="preserve">tate banks, savings banks, and trust companies </w:t>
      </w:r>
      <w:r w:rsidR="00B032FF">
        <w:rPr>
          <w:rFonts w:cs="Calibri"/>
        </w:rPr>
        <w:t>i</w:t>
      </w:r>
      <w:r>
        <w:rPr>
          <w:rFonts w:cs="Calibri"/>
        </w:rPr>
        <w:t>ncluded.]”</w:t>
      </w:r>
      <w:r w:rsidR="00B032FF">
        <w:rPr>
          <w:rFonts w:cs="Calibri"/>
        </w:rPr>
        <w:t xml:space="preserve"> </w:t>
      </w:r>
      <w:r>
        <w:rPr>
          <w:rFonts w:cs="Calibri"/>
        </w:rPr>
        <w:t>(*), p. 545; (*) please see Walter S. Logan, 1922, “Amendments to the Federal Reserve Act</w:t>
      </w:r>
      <w:r w:rsidR="00B032FF">
        <w:rPr>
          <w:rFonts w:cs="Calibri"/>
        </w:rPr>
        <w:t>,</w:t>
      </w:r>
      <w:r>
        <w:rPr>
          <w:rFonts w:cs="Calibri"/>
        </w:rPr>
        <w:t>” p. 115, “The second important amendment to the Act was that of June 21, 1917.  Up to this time few state banks had joined the Federal Reserve System…”</w:t>
      </w:r>
    </w:p>
    <w:p w14:paraId="5168942B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Annual Report of the Secretary of the Treasury on the State of the Finances for the Fiscal Year Ended June 30, 1917, Washington, Government Printing Office, 1918:  “Reserve required and held by national banks, together with the excess or deficiency, 1916-17”, p. 579</w:t>
      </w:r>
    </w:p>
    <w:p w14:paraId="340918C1" w14:textId="5489A3B1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lastRenderedPageBreak/>
        <w:t xml:space="preserve"> W.A. Brown, Jr., “The International Gold Standard Reinterpreted, 1914-1934,</w:t>
      </w:r>
      <w:r w:rsidR="00D020DF">
        <w:rPr>
          <w:rFonts w:cs="Calibri"/>
        </w:rPr>
        <w:t>”</w:t>
      </w:r>
      <w:r>
        <w:rPr>
          <w:rFonts w:cs="Calibri"/>
        </w:rPr>
        <w:t xml:space="preserve"> New York, NBER, 1940, Vol. I, p.65, as footnote 17, in Milton Friedman &amp; Anna Schwartz, 1963, </w:t>
      </w:r>
      <w:r w:rsidRPr="00D020DF">
        <w:rPr>
          <w:i/>
          <w:iCs/>
        </w:rPr>
        <w:t>A Monetary History of the United States, 1867-1960,</w:t>
      </w:r>
      <w:r>
        <w:t xml:space="preserve"> p. 199</w:t>
      </w:r>
    </w:p>
    <w:p w14:paraId="5C076380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</w:t>
      </w:r>
    </w:p>
    <w:p w14:paraId="228118F7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</w:t>
      </w:r>
    </w:p>
    <w:p w14:paraId="4DA7920C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</w:t>
      </w:r>
    </w:p>
    <w:p w14:paraId="309AB9CA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Annual Report of the Secretary of the Treasury on the State of the Finances for the Fiscal Year Ended June 30, 1915, Washington, Government Printing Office, 1916, p. 1</w:t>
      </w:r>
    </w:p>
    <w:p w14:paraId="3AD655A5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Ibid.</w:t>
      </w:r>
    </w:p>
    <w:p w14:paraId="4BA07DEC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Robert H. </w:t>
      </w:r>
      <w:proofErr w:type="spellStart"/>
      <w:r>
        <w:rPr>
          <w:rFonts w:cs="Calibri"/>
        </w:rPr>
        <w:t>Zieger</w:t>
      </w:r>
      <w:proofErr w:type="spellEnd"/>
      <w:r>
        <w:rPr>
          <w:rFonts w:cs="Calibri"/>
        </w:rPr>
        <w:t xml:space="preserve">, </w:t>
      </w:r>
      <w:r w:rsidRPr="000A5554">
        <w:rPr>
          <w:rFonts w:cs="Calibri"/>
          <w:i/>
          <w:iCs/>
        </w:rPr>
        <w:t>American’s Great War: World War I and the American Experience</w:t>
      </w:r>
      <w:r>
        <w:rPr>
          <w:rFonts w:cs="Calibri"/>
        </w:rPr>
        <w:t>, p. 30</w:t>
      </w:r>
    </w:p>
    <w:p w14:paraId="670B9E8C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Burton J. Hendrick, 1923, </w:t>
      </w:r>
      <w:r w:rsidRPr="001E23B8">
        <w:rPr>
          <w:rFonts w:cs="Calibri"/>
          <w:i/>
          <w:iCs/>
        </w:rPr>
        <w:t>The Life and Letters of Walter H. Page, Volume II</w:t>
      </w:r>
      <w:r>
        <w:rPr>
          <w:rFonts w:cs="Calibri"/>
        </w:rPr>
        <w:t>, p. 269</w:t>
      </w:r>
    </w:p>
    <w:p w14:paraId="43CE5C91" w14:textId="77777777" w:rsidR="005D3503" w:rsidRPr="00EF438A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  <w:rPr>
          <w:i/>
          <w:iCs/>
        </w:rPr>
      </w:pPr>
      <w:r>
        <w:rPr>
          <w:rFonts w:cs="Calibri"/>
        </w:rPr>
        <w:t xml:space="preserve"> </w:t>
      </w:r>
      <w:r w:rsidRPr="00EF438A">
        <w:rPr>
          <w:rStyle w:val="HTMLCite"/>
          <w:i w:val="0"/>
          <w:iCs w:val="0"/>
        </w:rPr>
        <w:t>Tames, Richard (1972).</w:t>
      </w:r>
      <w:r>
        <w:rPr>
          <w:rStyle w:val="HTMLCite"/>
        </w:rPr>
        <w:t xml:space="preserve"> Last of the Tsars. </w:t>
      </w:r>
      <w:r w:rsidRPr="00EF438A">
        <w:rPr>
          <w:rStyle w:val="HTMLCite"/>
          <w:i w:val="0"/>
          <w:iCs w:val="0"/>
        </w:rPr>
        <w:t>London: Pan Books Ltd., p. 52, referenced at:   https://en.wikipedia.org/wiki/Nicholas_II_of_Russia#Collapse</w:t>
      </w:r>
    </w:p>
    <w:p w14:paraId="5EC1FC3E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Burton J. Hendrick, 1923, </w:t>
      </w:r>
      <w:r w:rsidRPr="00173691">
        <w:rPr>
          <w:rFonts w:cs="Calibri"/>
          <w:i/>
          <w:iCs/>
        </w:rPr>
        <w:t>The Life and Letters of Walter H. Page, Volume II</w:t>
      </w:r>
      <w:r>
        <w:rPr>
          <w:rFonts w:cs="Calibri"/>
        </w:rPr>
        <w:t>, pp. 269-271</w:t>
      </w:r>
    </w:p>
    <w:p w14:paraId="52F6C0FF" w14:textId="1D46F718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Marriner Eccles, </w:t>
      </w:r>
      <w:r w:rsidRPr="00173691">
        <w:rPr>
          <w:rFonts w:cs="Calibri"/>
          <w:i/>
          <w:iCs/>
        </w:rPr>
        <w:t>Beckoning Frontiers: Public and Personal Recollections</w:t>
      </w:r>
      <w:r>
        <w:rPr>
          <w:rFonts w:cs="Calibri"/>
        </w:rPr>
        <w:t>, pp. 16</w:t>
      </w:r>
      <w:r w:rsidR="00EE51DB">
        <w:rPr>
          <w:rFonts w:cs="Calibri"/>
        </w:rPr>
        <w:t>7</w:t>
      </w:r>
      <w:r>
        <w:rPr>
          <w:rFonts w:cs="Calibri"/>
        </w:rPr>
        <w:t>-168</w:t>
      </w:r>
    </w:p>
    <w:p w14:paraId="5F56D4BF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Charles Gilbert, 1970, </w:t>
      </w:r>
      <w:r w:rsidRPr="00173691">
        <w:rPr>
          <w:rFonts w:cs="Calibri"/>
          <w:i/>
          <w:iCs/>
        </w:rPr>
        <w:t>American Financing of World War I</w:t>
      </w:r>
      <w:r>
        <w:rPr>
          <w:rFonts w:cs="Calibri"/>
        </w:rPr>
        <w:t xml:space="preserve">, “Table 41 – Summary of Liberty and Victory Loans, p. 139; and “Liberty Bond Issues 1917-1918” and “Victory Liberty Loan” at </w:t>
      </w:r>
      <w:hyperlink w:anchor="Victory_Liberty_Loan" w:history="1">
        <w:r>
          <w:rPr>
            <w:rFonts w:cs="Calibri"/>
          </w:rPr>
          <w:t>https://en.wikipedia.org/wiki/Liberty_bond#Victory_Liberty_Loan</w:t>
        </w:r>
      </w:hyperlink>
    </w:p>
    <w:p w14:paraId="212C829F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 Charles Gilbert, 1970, </w:t>
      </w:r>
      <w:r w:rsidRPr="00173691">
        <w:rPr>
          <w:rFonts w:cs="Calibri"/>
          <w:i/>
          <w:iCs/>
        </w:rPr>
        <w:t>American Financing of World War I</w:t>
      </w:r>
      <w:r>
        <w:rPr>
          <w:rFonts w:cs="Calibri"/>
        </w:rPr>
        <w:t>, p. 119</w:t>
      </w:r>
    </w:p>
    <w:p w14:paraId="439BE26E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 Charles Gilbert, 1970, </w:t>
      </w:r>
      <w:r w:rsidRPr="00173691">
        <w:rPr>
          <w:rFonts w:cs="Calibri"/>
          <w:i/>
          <w:iCs/>
        </w:rPr>
        <w:t>American Financing of World War I</w:t>
      </w:r>
      <w:r>
        <w:rPr>
          <w:rFonts w:cs="Calibri"/>
        </w:rPr>
        <w:t>, p. 177</w:t>
      </w:r>
    </w:p>
    <w:p w14:paraId="4E4A798A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 Milton Friedman &amp; Anna Schwartz, 1963, </w:t>
      </w:r>
      <w:r w:rsidRPr="00173691">
        <w:rPr>
          <w:i/>
          <w:iCs/>
        </w:rPr>
        <w:t>A Monetary History of the United States, 1867-1960</w:t>
      </w:r>
      <w:r>
        <w:t>, p. 193</w:t>
      </w:r>
    </w:p>
    <w:p w14:paraId="1A258C56" w14:textId="46A8B695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t xml:space="preserve">  </w:t>
      </w:r>
      <w:r>
        <w:rPr>
          <w:rFonts w:cs="Calibri"/>
        </w:rPr>
        <w:t xml:space="preserve">Charles Gilbert, 1970, </w:t>
      </w:r>
      <w:r w:rsidRPr="00173691">
        <w:rPr>
          <w:rFonts w:cs="Calibri"/>
          <w:i/>
          <w:iCs/>
        </w:rPr>
        <w:t>American Financing of World War I</w:t>
      </w:r>
      <w:r>
        <w:rPr>
          <w:rFonts w:cs="Calibri"/>
        </w:rPr>
        <w:t>, p. 183, “Table 60: Reserves, Loans, Investments and Deposits of Member Banks, June 20, 1917 and December 31, 1917</w:t>
      </w:r>
      <w:r w:rsidR="00173691">
        <w:rPr>
          <w:rFonts w:cs="Calibri"/>
        </w:rPr>
        <w:t>.”</w:t>
      </w:r>
      <w:r>
        <w:rPr>
          <w:rFonts w:cs="Calibri"/>
        </w:rPr>
        <w:t xml:space="preserve"> </w:t>
      </w:r>
      <w:r w:rsidR="00173691">
        <w:rPr>
          <w:rFonts w:cs="Calibri"/>
        </w:rPr>
        <w:t xml:space="preserve"> </w:t>
      </w:r>
      <w:r>
        <w:rPr>
          <w:rFonts w:cs="Calibri"/>
        </w:rPr>
        <w:t>Source: Federal Reserve Board, Banking and Monetary Statistics, pp. 72-73</w:t>
      </w:r>
    </w:p>
    <w:p w14:paraId="2D85739E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Ferdinand Lundberg, 1946, </w:t>
      </w:r>
      <w:r w:rsidRPr="00825FF8">
        <w:rPr>
          <w:rFonts w:cs="Calibri"/>
          <w:i/>
          <w:iCs/>
        </w:rPr>
        <w:t>America’s 60 Families</w:t>
      </w:r>
      <w:r>
        <w:rPr>
          <w:rFonts w:cs="Calibri"/>
        </w:rPr>
        <w:t>, p. 134</w:t>
      </w:r>
    </w:p>
    <w:p w14:paraId="73B14CF6" w14:textId="77777777" w:rsidR="005D3503" w:rsidRDefault="005D3503" w:rsidP="005D350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cs="Calibri"/>
        </w:rPr>
        <w:t xml:space="preserve"> </w:t>
      </w:r>
      <w:r>
        <w:t xml:space="preserve">F. William Engdahl, </w:t>
      </w:r>
      <w:r w:rsidRPr="00825FF8">
        <w:rPr>
          <w:i/>
          <w:iCs/>
        </w:rPr>
        <w:t>Gods of Money</w:t>
      </w:r>
      <w:r>
        <w:t>, p. 70</w:t>
      </w:r>
    </w:p>
    <w:p w14:paraId="62F03447" w14:textId="202ED102" w:rsidR="004F1CF4" w:rsidRPr="002F7B4B" w:rsidRDefault="005D3503" w:rsidP="0003183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</w:rPr>
      </w:pPr>
      <w:r w:rsidRPr="00E60C4F">
        <w:rPr>
          <w:rFonts w:cs="Calibri"/>
        </w:rPr>
        <w:t xml:space="preserve"> </w:t>
      </w:r>
      <w:r>
        <w:t>David C. Wheelock, Federal Reserve Bank of St. Louis, November, 2013, “The Fed’s Formative Years:  1913-1929</w:t>
      </w:r>
      <w:r w:rsidR="006E223A">
        <w:t>,</w:t>
      </w:r>
      <w:r>
        <w:t xml:space="preserve">” found at </w:t>
      </w:r>
      <w:hyperlink r:id="rId11" w:history="1">
        <w:r>
          <w:t>https://www.federalreservehistory.org/essays/feds_formative_years</w:t>
        </w:r>
      </w:hyperlink>
      <w:r>
        <w:t>.  The following reference is made by Wheelock</w:t>
      </w:r>
      <w:r w:rsidR="00E60C4F">
        <w:t xml:space="preserve"> in his article, “Barry </w:t>
      </w:r>
      <w:proofErr w:type="spellStart"/>
      <w:r w:rsidR="00E60C4F">
        <w:t>Eichengreen</w:t>
      </w:r>
      <w:proofErr w:type="spellEnd"/>
      <w:r w:rsidR="00E60C4F">
        <w:t xml:space="preserve">, </w:t>
      </w:r>
      <w:r w:rsidR="00E60C4F">
        <w:rPr>
          <w:rStyle w:val="Emphasis"/>
        </w:rPr>
        <w:t>Golden Fetters: The Gold Standard and the Great Depression, 1919-1939</w:t>
      </w:r>
      <w:r w:rsidR="00E60C4F">
        <w:t>. New York: Oxford University Press, 1992.”</w:t>
      </w:r>
    </w:p>
    <w:p w14:paraId="3F150EC5" w14:textId="256B0925" w:rsidR="002F7B4B" w:rsidRPr="002F7B4B" w:rsidRDefault="002F7B4B" w:rsidP="0003183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</w:rPr>
      </w:pPr>
      <w:r>
        <w:t xml:space="preserve"> Edward Kellogg, </w:t>
      </w:r>
      <w:r w:rsidRPr="002F7B4B">
        <w:rPr>
          <w:i/>
          <w:iCs/>
        </w:rPr>
        <w:t>Labor and Capital; A New Monetary System</w:t>
      </w:r>
      <w:r>
        <w:t>, p. xxv</w:t>
      </w:r>
    </w:p>
    <w:p w14:paraId="164A941B" w14:textId="7EA1CD1B" w:rsidR="002F7B4B" w:rsidRPr="00E60C4F" w:rsidRDefault="002F7B4B" w:rsidP="0003183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r>
        <w:t xml:space="preserve">Edward Kellogg, </w:t>
      </w:r>
      <w:r w:rsidRPr="002F7B4B">
        <w:rPr>
          <w:i/>
          <w:iCs/>
        </w:rPr>
        <w:t>Labor and Capital; A New Monetary System</w:t>
      </w:r>
      <w:r>
        <w:t xml:space="preserve">, p. </w:t>
      </w:r>
      <w:r>
        <w:t>17</w:t>
      </w:r>
    </w:p>
    <w:sectPr w:rsidR="002F7B4B" w:rsidRPr="00E60C4F" w:rsidSect="005F4F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F7361" w14:textId="77777777" w:rsidR="00584781" w:rsidRDefault="00584781" w:rsidP="005F4F06">
      <w:pPr>
        <w:spacing w:after="0" w:line="240" w:lineRule="auto"/>
      </w:pPr>
      <w:r>
        <w:separator/>
      </w:r>
    </w:p>
  </w:endnote>
  <w:endnote w:type="continuationSeparator" w:id="0">
    <w:p w14:paraId="0DC47354" w14:textId="77777777" w:rsidR="00584781" w:rsidRDefault="00584781" w:rsidP="005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42339" w14:textId="77777777" w:rsidR="005F4F06" w:rsidRDefault="005F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E2030" w14:textId="77777777" w:rsidR="005F4F06" w:rsidRDefault="005F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EDD0F" w14:textId="77777777" w:rsidR="005F4F06" w:rsidRDefault="005F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9503B" w14:textId="77777777" w:rsidR="00584781" w:rsidRDefault="00584781" w:rsidP="005F4F06">
      <w:pPr>
        <w:spacing w:after="0" w:line="240" w:lineRule="auto"/>
      </w:pPr>
      <w:r>
        <w:separator/>
      </w:r>
    </w:p>
  </w:footnote>
  <w:footnote w:type="continuationSeparator" w:id="0">
    <w:p w14:paraId="489BDD2D" w14:textId="77777777" w:rsidR="00584781" w:rsidRDefault="00584781" w:rsidP="005F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8AC7" w14:textId="77777777" w:rsidR="005F4F06" w:rsidRDefault="005F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2D13533B" w14:textId="77777777" w:rsidR="005F4F06" w:rsidRDefault="005F4F0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8DE08" w14:textId="77777777" w:rsidR="005F4F06" w:rsidRDefault="005F4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DE08" w14:textId="77777777" w:rsidR="005F4F06" w:rsidRDefault="005F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5EC2"/>
    <w:multiLevelType w:val="multilevel"/>
    <w:tmpl w:val="E91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72CE"/>
    <w:multiLevelType w:val="hybridMultilevel"/>
    <w:tmpl w:val="D250EA6E"/>
    <w:lvl w:ilvl="0" w:tplc="24484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24FA"/>
    <w:multiLevelType w:val="multilevel"/>
    <w:tmpl w:val="A37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02621"/>
    <w:multiLevelType w:val="multilevel"/>
    <w:tmpl w:val="0AE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343F"/>
    <w:multiLevelType w:val="multilevel"/>
    <w:tmpl w:val="0D3657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5704F33"/>
    <w:multiLevelType w:val="multilevel"/>
    <w:tmpl w:val="51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B4C92"/>
    <w:multiLevelType w:val="multilevel"/>
    <w:tmpl w:val="A92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608AF"/>
    <w:multiLevelType w:val="multilevel"/>
    <w:tmpl w:val="A54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607BB"/>
    <w:multiLevelType w:val="multilevel"/>
    <w:tmpl w:val="9B9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601E0"/>
    <w:multiLevelType w:val="multilevel"/>
    <w:tmpl w:val="37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E4308"/>
    <w:multiLevelType w:val="hybridMultilevel"/>
    <w:tmpl w:val="D250EA6E"/>
    <w:lvl w:ilvl="0" w:tplc="24484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B54DC"/>
    <w:multiLevelType w:val="multilevel"/>
    <w:tmpl w:val="717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216E7"/>
    <w:multiLevelType w:val="multilevel"/>
    <w:tmpl w:val="983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F0647"/>
    <w:multiLevelType w:val="multilevel"/>
    <w:tmpl w:val="FB7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961D8"/>
    <w:multiLevelType w:val="multilevel"/>
    <w:tmpl w:val="BC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6"/>
    <w:rsid w:val="00016704"/>
    <w:rsid w:val="000244B8"/>
    <w:rsid w:val="00034A3D"/>
    <w:rsid w:val="00040974"/>
    <w:rsid w:val="00043D9C"/>
    <w:rsid w:val="00054673"/>
    <w:rsid w:val="00057D5E"/>
    <w:rsid w:val="000734AE"/>
    <w:rsid w:val="000A5554"/>
    <w:rsid w:val="000B0A62"/>
    <w:rsid w:val="000D2D7A"/>
    <w:rsid w:val="000D411F"/>
    <w:rsid w:val="00102AF8"/>
    <w:rsid w:val="00117999"/>
    <w:rsid w:val="00121769"/>
    <w:rsid w:val="0013511B"/>
    <w:rsid w:val="00143DF9"/>
    <w:rsid w:val="00155A6E"/>
    <w:rsid w:val="00173691"/>
    <w:rsid w:val="00184F8D"/>
    <w:rsid w:val="001871A1"/>
    <w:rsid w:val="00194DB1"/>
    <w:rsid w:val="001A5A51"/>
    <w:rsid w:val="001C153E"/>
    <w:rsid w:val="001C4180"/>
    <w:rsid w:val="001D144D"/>
    <w:rsid w:val="001E23B8"/>
    <w:rsid w:val="001F6CD4"/>
    <w:rsid w:val="00203F75"/>
    <w:rsid w:val="00220275"/>
    <w:rsid w:val="002342BB"/>
    <w:rsid w:val="002403D1"/>
    <w:rsid w:val="002619DE"/>
    <w:rsid w:val="00265AEA"/>
    <w:rsid w:val="00282C48"/>
    <w:rsid w:val="002A66FA"/>
    <w:rsid w:val="002F7B4B"/>
    <w:rsid w:val="00310138"/>
    <w:rsid w:val="003125BD"/>
    <w:rsid w:val="00321CE7"/>
    <w:rsid w:val="00343D03"/>
    <w:rsid w:val="00357782"/>
    <w:rsid w:val="0036467F"/>
    <w:rsid w:val="00367FDC"/>
    <w:rsid w:val="0037114B"/>
    <w:rsid w:val="003A37B3"/>
    <w:rsid w:val="003A44DE"/>
    <w:rsid w:val="003E4B69"/>
    <w:rsid w:val="003F313C"/>
    <w:rsid w:val="0042394F"/>
    <w:rsid w:val="00467D89"/>
    <w:rsid w:val="00484F89"/>
    <w:rsid w:val="00490078"/>
    <w:rsid w:val="004B51AC"/>
    <w:rsid w:val="004E0F3F"/>
    <w:rsid w:val="004F1CF4"/>
    <w:rsid w:val="00513E8C"/>
    <w:rsid w:val="005217AD"/>
    <w:rsid w:val="00521AF1"/>
    <w:rsid w:val="0053279E"/>
    <w:rsid w:val="00542291"/>
    <w:rsid w:val="0056721E"/>
    <w:rsid w:val="00581744"/>
    <w:rsid w:val="00584781"/>
    <w:rsid w:val="00595EDB"/>
    <w:rsid w:val="005A36B7"/>
    <w:rsid w:val="005A4426"/>
    <w:rsid w:val="005B49A5"/>
    <w:rsid w:val="005B536E"/>
    <w:rsid w:val="005D3503"/>
    <w:rsid w:val="005D6062"/>
    <w:rsid w:val="005F0717"/>
    <w:rsid w:val="005F0A5F"/>
    <w:rsid w:val="005F49A4"/>
    <w:rsid w:val="005F4F06"/>
    <w:rsid w:val="005F719E"/>
    <w:rsid w:val="00613B67"/>
    <w:rsid w:val="0062075D"/>
    <w:rsid w:val="00621A2B"/>
    <w:rsid w:val="00623BA2"/>
    <w:rsid w:val="00641512"/>
    <w:rsid w:val="006428B0"/>
    <w:rsid w:val="0065656E"/>
    <w:rsid w:val="0066708C"/>
    <w:rsid w:val="0068295D"/>
    <w:rsid w:val="006A2BD2"/>
    <w:rsid w:val="006A7CD7"/>
    <w:rsid w:val="006C0684"/>
    <w:rsid w:val="006E223A"/>
    <w:rsid w:val="006F1166"/>
    <w:rsid w:val="00705D04"/>
    <w:rsid w:val="007176D4"/>
    <w:rsid w:val="0073184C"/>
    <w:rsid w:val="007439D8"/>
    <w:rsid w:val="00757A79"/>
    <w:rsid w:val="00765998"/>
    <w:rsid w:val="00773E42"/>
    <w:rsid w:val="00792D92"/>
    <w:rsid w:val="007F58A1"/>
    <w:rsid w:val="00807E53"/>
    <w:rsid w:val="008161EB"/>
    <w:rsid w:val="00825FF8"/>
    <w:rsid w:val="00830961"/>
    <w:rsid w:val="0083193F"/>
    <w:rsid w:val="008450E5"/>
    <w:rsid w:val="00871F55"/>
    <w:rsid w:val="008803E8"/>
    <w:rsid w:val="00886B07"/>
    <w:rsid w:val="008A3DE5"/>
    <w:rsid w:val="008B1A23"/>
    <w:rsid w:val="008B54FA"/>
    <w:rsid w:val="008C1D0E"/>
    <w:rsid w:val="008C4A05"/>
    <w:rsid w:val="008E36D2"/>
    <w:rsid w:val="008F1676"/>
    <w:rsid w:val="00904246"/>
    <w:rsid w:val="00906069"/>
    <w:rsid w:val="009273C2"/>
    <w:rsid w:val="00930DB7"/>
    <w:rsid w:val="00930F27"/>
    <w:rsid w:val="00947AAB"/>
    <w:rsid w:val="00947CCF"/>
    <w:rsid w:val="00953D81"/>
    <w:rsid w:val="00961CCE"/>
    <w:rsid w:val="00967F2C"/>
    <w:rsid w:val="0098225A"/>
    <w:rsid w:val="00983C9C"/>
    <w:rsid w:val="009A7D6E"/>
    <w:rsid w:val="009B7690"/>
    <w:rsid w:val="009D10CC"/>
    <w:rsid w:val="009D47E7"/>
    <w:rsid w:val="00A01EC9"/>
    <w:rsid w:val="00A15263"/>
    <w:rsid w:val="00A24D94"/>
    <w:rsid w:val="00A26381"/>
    <w:rsid w:val="00A504D5"/>
    <w:rsid w:val="00A52746"/>
    <w:rsid w:val="00AA34F6"/>
    <w:rsid w:val="00AB0DCA"/>
    <w:rsid w:val="00AB3E7B"/>
    <w:rsid w:val="00AF143A"/>
    <w:rsid w:val="00AF4D4F"/>
    <w:rsid w:val="00B02412"/>
    <w:rsid w:val="00B032FF"/>
    <w:rsid w:val="00B070ED"/>
    <w:rsid w:val="00B16C4C"/>
    <w:rsid w:val="00B23895"/>
    <w:rsid w:val="00B33424"/>
    <w:rsid w:val="00B52A58"/>
    <w:rsid w:val="00BA5A22"/>
    <w:rsid w:val="00BC358A"/>
    <w:rsid w:val="00BC71BF"/>
    <w:rsid w:val="00BC7306"/>
    <w:rsid w:val="00C1245C"/>
    <w:rsid w:val="00C36441"/>
    <w:rsid w:val="00C4218A"/>
    <w:rsid w:val="00C451B8"/>
    <w:rsid w:val="00C72FFC"/>
    <w:rsid w:val="00CA539A"/>
    <w:rsid w:val="00CC0573"/>
    <w:rsid w:val="00CC6EE7"/>
    <w:rsid w:val="00CE594C"/>
    <w:rsid w:val="00CF6612"/>
    <w:rsid w:val="00D020DF"/>
    <w:rsid w:val="00D21C47"/>
    <w:rsid w:val="00D630C9"/>
    <w:rsid w:val="00D726CE"/>
    <w:rsid w:val="00D72D8D"/>
    <w:rsid w:val="00D934F3"/>
    <w:rsid w:val="00DA1C85"/>
    <w:rsid w:val="00DA4033"/>
    <w:rsid w:val="00DA7EF9"/>
    <w:rsid w:val="00DC2025"/>
    <w:rsid w:val="00DC568F"/>
    <w:rsid w:val="00DE6288"/>
    <w:rsid w:val="00E12788"/>
    <w:rsid w:val="00E23ED6"/>
    <w:rsid w:val="00E41819"/>
    <w:rsid w:val="00E42C2B"/>
    <w:rsid w:val="00E60C4F"/>
    <w:rsid w:val="00E6203D"/>
    <w:rsid w:val="00E62E66"/>
    <w:rsid w:val="00E646E1"/>
    <w:rsid w:val="00E709D5"/>
    <w:rsid w:val="00E7718C"/>
    <w:rsid w:val="00E81063"/>
    <w:rsid w:val="00EA45D9"/>
    <w:rsid w:val="00EB04EF"/>
    <w:rsid w:val="00ED4C78"/>
    <w:rsid w:val="00EE1F91"/>
    <w:rsid w:val="00EE51DB"/>
    <w:rsid w:val="00EF438A"/>
    <w:rsid w:val="00F17D2A"/>
    <w:rsid w:val="00F348A6"/>
    <w:rsid w:val="00F5022C"/>
    <w:rsid w:val="00F71457"/>
    <w:rsid w:val="00F71DB0"/>
    <w:rsid w:val="00FA081B"/>
    <w:rsid w:val="00FE5D04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770D"/>
  <w15:chartTrackingRefBased/>
  <w15:docId w15:val="{2F3620DC-CA51-412B-93E8-1B3527D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2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06"/>
  </w:style>
  <w:style w:type="paragraph" w:styleId="Footer">
    <w:name w:val="footer"/>
    <w:basedOn w:val="Normal"/>
    <w:link w:val="Foot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06"/>
  </w:style>
  <w:style w:type="character" w:customStyle="1" w:styleId="Heading1Char">
    <w:name w:val="Heading 1 Char"/>
    <w:basedOn w:val="DefaultParagraphFont"/>
    <w:link w:val="Heading1"/>
    <w:uiPriority w:val="9"/>
    <w:rsid w:val="005422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22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2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29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42291"/>
    <w:rPr>
      <w:i/>
      <w:iCs/>
    </w:rPr>
  </w:style>
  <w:style w:type="character" w:customStyle="1" w:styleId="info">
    <w:name w:val="info"/>
    <w:basedOn w:val="DefaultParagraphFont"/>
    <w:rsid w:val="00542291"/>
  </w:style>
  <w:style w:type="character" w:customStyle="1" w:styleId="indent">
    <w:name w:val="indent"/>
    <w:basedOn w:val="DefaultParagraphFont"/>
    <w:rsid w:val="00542291"/>
  </w:style>
  <w:style w:type="character" w:customStyle="1" w:styleId="small">
    <w:name w:val="small"/>
    <w:basedOn w:val="DefaultParagraphFont"/>
    <w:rsid w:val="00542291"/>
  </w:style>
  <w:style w:type="paragraph" w:customStyle="1" w:styleId="medium">
    <w:name w:val="medium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top">
    <w:name w:val="pagetop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176D4"/>
    <w:pPr>
      <w:ind w:left="720"/>
      <w:contextualSpacing/>
    </w:pPr>
  </w:style>
  <w:style w:type="character" w:customStyle="1" w:styleId="metadata-heading">
    <w:name w:val="metadata-heading"/>
    <w:basedOn w:val="DefaultParagraphFont"/>
    <w:rsid w:val="00D630C9"/>
  </w:style>
  <w:style w:type="character" w:customStyle="1" w:styleId="id-label">
    <w:name w:val="id-label"/>
    <w:basedOn w:val="DefaultParagraphFont"/>
    <w:rsid w:val="009A7D6E"/>
  </w:style>
  <w:style w:type="character" w:customStyle="1" w:styleId="component">
    <w:name w:val="component"/>
    <w:basedOn w:val="DefaultParagraphFont"/>
    <w:rsid w:val="009A7D6E"/>
  </w:style>
  <w:style w:type="character" w:styleId="HTMLCite">
    <w:name w:val="HTML Cite"/>
    <w:basedOn w:val="DefaultParagraphFont"/>
    <w:unhideWhenUsed/>
    <w:rsid w:val="00C1245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7718C"/>
    <w:rPr>
      <w:color w:val="605E5C"/>
      <w:shd w:val="clear" w:color="auto" w:fill="E1DFDD"/>
    </w:rPr>
  </w:style>
  <w:style w:type="paragraph" w:customStyle="1" w:styleId="Standard">
    <w:name w:val="Standard"/>
    <w:rsid w:val="005D35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8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4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9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ser.stlouisfed.org/title/96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eralreservehistory.org/essays/feds_formative_yea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raser.stlouisfed.org/title/96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aser.stlouisfed.org/title/9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A014-264C-4E95-A583-59A0CB8A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6</cp:revision>
  <cp:lastPrinted>2020-07-18T21:03:00Z</cp:lastPrinted>
  <dcterms:created xsi:type="dcterms:W3CDTF">2020-07-18T20:56:00Z</dcterms:created>
  <dcterms:modified xsi:type="dcterms:W3CDTF">2020-07-27T20:25:00Z</dcterms:modified>
</cp:coreProperties>
</file>